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512" w:rsidRDefault="00A03512" w:rsidP="006E4BAB">
      <w:r>
        <w:pict>
          <v:rect id="_x0000_i1025" style="width:468pt;height:10pt" o:hralign="center" o:hrstd="t" o:hrnoshade="t" o:hr="t" fillcolor="#17365d" stroked="f"/>
        </w:pict>
      </w:r>
    </w:p>
    <w:p w:rsidR="00A03512" w:rsidRDefault="00A03512" w:rsidP="006E4BAB">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Approved ALIANZA logo NO-TAB" style="position:absolute;margin-left:296.1pt;margin-top:21.1pt;width:116.7pt;height:1in;z-index:251653632;visibility:visible;mso-position-horizontal-relative:margin;mso-position-vertical-relative:margin">
            <v:imagedata r:id="rId7" o:title=""/>
            <w10:wrap type="square" anchorx="margin" anchory="margin"/>
          </v:shape>
        </w:pict>
      </w:r>
    </w:p>
    <w:p w:rsidR="00A03512" w:rsidRDefault="00A03512" w:rsidP="006E4BAB">
      <w:r>
        <w:t>Fondo Mundial para la Naturaleza, WWF</w:t>
      </w:r>
    </w:p>
    <w:p w:rsidR="00A03512" w:rsidRDefault="00A03512" w:rsidP="006E4BAB">
      <w:r>
        <w:t>Programa Desierto Chihuahuense</w:t>
      </w:r>
    </w:p>
    <w:p w:rsidR="00A03512" w:rsidRDefault="00A03512" w:rsidP="006E4BAB">
      <w:r>
        <w:t>Coronado No. 1005 Col. Centro</w:t>
      </w:r>
    </w:p>
    <w:p w:rsidR="00A03512" w:rsidRDefault="00A03512" w:rsidP="006E4BAB">
      <w:r>
        <w:t>CP 31000 Chihuahua, Chihuahua, México</w:t>
      </w:r>
    </w:p>
    <w:p w:rsidR="00A03512" w:rsidRDefault="00A03512" w:rsidP="006E4BAB">
      <w:r>
        <w:t>(614) 415 7526, 415 7901, 415 7413</w:t>
      </w:r>
    </w:p>
    <w:p w:rsidR="00A03512" w:rsidRDefault="00A03512" w:rsidP="001B199C">
      <w:pPr>
        <w:pBdr>
          <w:bottom w:val="single" w:sz="4" w:space="1" w:color="auto"/>
        </w:pBdr>
      </w:pPr>
    </w:p>
    <w:p w:rsidR="00A03512" w:rsidRDefault="00A03512" w:rsidP="006E4BAB"/>
    <w:p w:rsidR="00A03512" w:rsidRDefault="00A03512" w:rsidP="006E4BAB"/>
    <w:p w:rsidR="00A03512" w:rsidRPr="0047727F" w:rsidRDefault="00A03512" w:rsidP="006E4BAB">
      <w:pPr>
        <w:rPr>
          <w:b/>
          <w:bCs/>
          <w:sz w:val="36"/>
          <w:szCs w:val="36"/>
        </w:rPr>
      </w:pPr>
      <w:r w:rsidRPr="0047727F">
        <w:rPr>
          <w:b/>
          <w:bCs/>
          <w:sz w:val="36"/>
          <w:szCs w:val="36"/>
        </w:rPr>
        <w:t xml:space="preserve">MANUAL DE MONITOREO DE SIGNOS VITALES  </w:t>
      </w:r>
    </w:p>
    <w:p w:rsidR="00A03512" w:rsidRPr="0047727F" w:rsidRDefault="00A03512" w:rsidP="006E4BAB">
      <w:pPr>
        <w:rPr>
          <w:b/>
          <w:bCs/>
          <w:sz w:val="36"/>
          <w:szCs w:val="36"/>
        </w:rPr>
      </w:pPr>
      <w:r w:rsidRPr="0047727F">
        <w:rPr>
          <w:b/>
          <w:bCs/>
          <w:sz w:val="36"/>
          <w:szCs w:val="36"/>
        </w:rPr>
        <w:t xml:space="preserve">DEL CORREDOR BIOLOGICO </w:t>
      </w:r>
    </w:p>
    <w:p w:rsidR="00A03512" w:rsidRPr="0047727F" w:rsidRDefault="00A03512" w:rsidP="006E4BAB">
      <w:pPr>
        <w:rPr>
          <w:b/>
          <w:bCs/>
          <w:sz w:val="36"/>
          <w:szCs w:val="36"/>
        </w:rPr>
      </w:pPr>
      <w:r w:rsidRPr="0047727F">
        <w:rPr>
          <w:b/>
          <w:bCs/>
          <w:sz w:val="36"/>
          <w:szCs w:val="36"/>
        </w:rPr>
        <w:t>CAÑON DE SANTA ELENA-MADERAS DEL CARMEN</w:t>
      </w:r>
    </w:p>
    <w:p w:rsidR="00A03512" w:rsidRDefault="00A03512" w:rsidP="006E4BAB"/>
    <w:p w:rsidR="00A03512" w:rsidRDefault="00A03512" w:rsidP="006E4BAB">
      <w:r>
        <w:t>Convenio OL80/Fuente donante y clave del proyecto: 001/MX085800</w:t>
      </w:r>
    </w:p>
    <w:p w:rsidR="00A03512" w:rsidRDefault="00A03512" w:rsidP="006E4BAB"/>
    <w:p w:rsidR="00A03512" w:rsidRDefault="00A03512" w:rsidP="006E4BAB">
      <w:r>
        <w:rPr>
          <w:noProof/>
          <w:lang w:val="en-US"/>
        </w:rPr>
        <w:pict>
          <v:shape id="Picture 4" o:spid="_x0000_s1027" type="#_x0000_t75" style="position:absolute;margin-left:229.6pt;margin-top:246.4pt;width:200.1pt;height:132.8pt;z-index:251658752;visibility:visible;mso-position-horizontal-relative:margin;mso-position-vertical-relative:margin">
            <v:imagedata r:id="rId8" o:title="" cropright="178f"/>
            <w10:wrap type="square" anchorx="margin" anchory="margin"/>
          </v:shape>
        </w:pict>
      </w:r>
      <w:r>
        <w:rPr>
          <w:noProof/>
          <w:lang w:val="en-US"/>
        </w:rPr>
        <w:pict>
          <v:shape id="il_fi" o:spid="_x0000_s1028" type="#_x0000_t75" alt="http://www.americansouthwest.net/texas/photographs450/santaelena1.jpg" style="position:absolute;margin-left:15.9pt;margin-top:246.4pt;width:198.5pt;height:276.8pt;z-index:251654656;visibility:visible;mso-position-horizontal-relative:margin;mso-position-vertical-relative:margin">
            <v:imagedata r:id="rId9" o:title=""/>
            <w10:wrap type="square" anchorx="margin" anchory="margin"/>
          </v:shape>
        </w:pict>
      </w:r>
    </w:p>
    <w:p w:rsidR="00A03512" w:rsidRDefault="00A03512" w:rsidP="006E4BAB"/>
    <w:p w:rsidR="00A03512" w:rsidRDefault="00A03512" w:rsidP="006E4BAB"/>
    <w:p w:rsidR="00A03512" w:rsidRDefault="00A03512" w:rsidP="006E4BAB"/>
    <w:p w:rsidR="00A03512" w:rsidRDefault="00A03512" w:rsidP="006E4BAB"/>
    <w:p w:rsidR="00A03512" w:rsidRDefault="00A03512" w:rsidP="006E4BAB"/>
    <w:p w:rsidR="00A03512" w:rsidRDefault="00A03512" w:rsidP="006E4BAB"/>
    <w:p w:rsidR="00A03512" w:rsidRDefault="00A03512" w:rsidP="006E4BAB"/>
    <w:p w:rsidR="00A03512" w:rsidRDefault="00A03512" w:rsidP="006E4BAB"/>
    <w:p w:rsidR="00A03512" w:rsidRDefault="00A03512" w:rsidP="006E4BAB"/>
    <w:p w:rsidR="00A03512" w:rsidRDefault="00A03512" w:rsidP="006E4BAB">
      <w:r>
        <w:rPr>
          <w:noProof/>
          <w:lang w:val="en-US"/>
        </w:rPr>
        <w:pict>
          <v:shape id="Picture 5" o:spid="_x0000_s1029" type="#_x0000_t75" style="position:absolute;margin-left:228.75pt;margin-top:387pt;width:198.75pt;height:129.75pt;z-index:251655680;visibility:visible;mso-position-horizontal-relative:margin;mso-position-vertical-relative:margin">
            <v:imagedata r:id="rId10" o:title="" gain="1.25" blacklevel="6554f"/>
            <w10:wrap type="square" anchorx="margin" anchory="margin"/>
          </v:shape>
        </w:pict>
      </w:r>
    </w:p>
    <w:p w:rsidR="00A03512" w:rsidRDefault="00A03512">
      <w:pPr>
        <w:spacing w:after="200" w:line="276" w:lineRule="auto"/>
      </w:pPr>
      <w:r>
        <w:rPr>
          <w:noProof/>
          <w:lang w:val="en-US"/>
        </w:rPr>
        <w:pict>
          <v:shape id="Picture 6" o:spid="_x0000_s1030" type="#_x0000_t75" style="position:absolute;margin-left:228.75pt;margin-top:529.7pt;width:228pt;height:131.25pt;z-index:251656704;visibility:visible;mso-position-horizontal-relative:margin;mso-position-vertical-relative:margin">
            <v:imagedata r:id="rId11" o:title="" cropright="163f" gain="1.25" blacklevel="6554f"/>
            <w10:wrap type="square" anchorx="margin" anchory="margin"/>
          </v:shape>
        </w:pict>
      </w:r>
      <w:r>
        <w:rPr>
          <w:noProof/>
          <w:lang w:val="en-US"/>
        </w:rPr>
        <w:pict>
          <v:shape id="Picture 7" o:spid="_x0000_s1031" type="#_x0000_t75" style="position:absolute;margin-left:22.3pt;margin-top:536pt;width:187.3pt;height:124.8pt;z-index:251657728;visibility:visible;mso-position-horizontal-relative:margin;mso-position-vertical-relative:margin">
            <v:imagedata r:id="rId12" o:title="" cropbottom="11808f" cropleft="11682f"/>
            <w10:wrap type="square" anchorx="margin" anchory="margin"/>
          </v:shape>
        </w:pict>
      </w:r>
      <w:r>
        <w:br w:type="page"/>
      </w:r>
    </w:p>
    <w:p w:rsidR="00A03512" w:rsidRDefault="00A03512">
      <w:pPr>
        <w:spacing w:after="200" w:line="276" w:lineRule="auto"/>
      </w:pPr>
    </w:p>
    <w:p w:rsidR="00A03512" w:rsidRDefault="00A03512" w:rsidP="009C5954"/>
    <w:p w:rsidR="00A03512" w:rsidRDefault="00A03512" w:rsidP="009C5954"/>
    <w:p w:rsidR="00A03512" w:rsidRDefault="00A03512" w:rsidP="009C5954"/>
    <w:p w:rsidR="00A03512" w:rsidRDefault="00A03512" w:rsidP="009C5954"/>
    <w:p w:rsidR="00A03512" w:rsidRDefault="00A03512" w:rsidP="009C5954"/>
    <w:p w:rsidR="00A03512" w:rsidRDefault="00A03512" w:rsidP="009C5954"/>
    <w:p w:rsidR="00A03512" w:rsidRPr="009C5954" w:rsidRDefault="00A03512" w:rsidP="009C5954">
      <w:pPr>
        <w:rPr>
          <w:b/>
          <w:bCs/>
        </w:rPr>
      </w:pPr>
      <w:r>
        <w:rPr>
          <w:b/>
          <w:bCs/>
        </w:rPr>
        <w:t>Escobedo, Nuevo León,</w:t>
      </w:r>
      <w:r w:rsidRPr="009C5954">
        <w:rPr>
          <w:b/>
          <w:bCs/>
        </w:rPr>
        <w:t xml:space="preserve"> </w:t>
      </w:r>
      <w:r>
        <w:rPr>
          <w:b/>
          <w:bCs/>
        </w:rPr>
        <w:t xml:space="preserve">México, </w:t>
      </w:r>
      <w:r w:rsidRPr="009C5954">
        <w:rPr>
          <w:b/>
          <w:bCs/>
        </w:rPr>
        <w:t>30 de Agosto de 2011</w:t>
      </w:r>
    </w:p>
    <w:p w:rsidR="00A03512" w:rsidRDefault="00A03512" w:rsidP="009C5954"/>
    <w:p w:rsidR="00A03512" w:rsidRDefault="00A03512" w:rsidP="009C5954"/>
    <w:p w:rsidR="00A03512" w:rsidRDefault="00A03512" w:rsidP="009C5954"/>
    <w:p w:rsidR="00A03512" w:rsidRDefault="00A03512" w:rsidP="009C5954"/>
    <w:p w:rsidR="00A03512" w:rsidRDefault="00A03512" w:rsidP="009C5954"/>
    <w:p w:rsidR="00A03512" w:rsidRDefault="00A03512" w:rsidP="009C5954"/>
    <w:p w:rsidR="00A03512" w:rsidRDefault="00A03512" w:rsidP="009C5954"/>
    <w:p w:rsidR="00A03512" w:rsidRPr="00357260" w:rsidRDefault="00A03512" w:rsidP="009C5954">
      <w:pPr>
        <w:rPr>
          <w:b/>
          <w:bCs/>
        </w:rPr>
      </w:pPr>
      <w:r w:rsidRPr="00357260">
        <w:rPr>
          <w:b/>
          <w:bCs/>
        </w:rPr>
        <w:t>Autor</w:t>
      </w:r>
    </w:p>
    <w:p w:rsidR="00A03512" w:rsidRPr="00357260" w:rsidRDefault="00A03512" w:rsidP="009C5954">
      <w:r w:rsidRPr="00357260">
        <w:t>Rogelio Carrera Treviño</w:t>
      </w:r>
    </w:p>
    <w:p w:rsidR="00A03512" w:rsidRDefault="00A03512" w:rsidP="00357260">
      <w:r>
        <w:t>Laboratorio de Fauna Silvestre</w:t>
      </w:r>
    </w:p>
    <w:p w:rsidR="00A03512" w:rsidRDefault="00A03512" w:rsidP="00357260">
      <w:r w:rsidRPr="00357260">
        <w:t>Facultad de M</w:t>
      </w:r>
      <w:r>
        <w:t>edicina Veterinaria y Zootecnia</w:t>
      </w:r>
    </w:p>
    <w:p w:rsidR="00A03512" w:rsidRPr="00357260" w:rsidRDefault="00A03512" w:rsidP="00357260">
      <w:r w:rsidRPr="00357260">
        <w:t>U</w:t>
      </w:r>
      <w:r>
        <w:t xml:space="preserve">niversidad </w:t>
      </w:r>
      <w:r w:rsidRPr="00357260">
        <w:t>A</w:t>
      </w:r>
      <w:r>
        <w:t xml:space="preserve">utónoma de </w:t>
      </w:r>
      <w:r w:rsidRPr="00357260">
        <w:t>N</w:t>
      </w:r>
      <w:r>
        <w:t xml:space="preserve">uevo </w:t>
      </w:r>
      <w:r w:rsidRPr="00357260">
        <w:t>L</w:t>
      </w:r>
      <w:r>
        <w:t>eón</w:t>
      </w:r>
    </w:p>
    <w:p w:rsidR="00A03512" w:rsidRPr="00357260" w:rsidRDefault="00A03512" w:rsidP="00357260">
      <w:r w:rsidRPr="00357260">
        <w:t>Campus Ciencias Agropecuarias</w:t>
      </w:r>
    </w:p>
    <w:p w:rsidR="00A03512" w:rsidRPr="00357260" w:rsidRDefault="00A03512" w:rsidP="00357260">
      <w:r w:rsidRPr="00357260">
        <w:t>Francisco Villa s/n C.P. 66050</w:t>
      </w:r>
    </w:p>
    <w:p w:rsidR="00A03512" w:rsidRPr="00357260" w:rsidRDefault="00A03512" w:rsidP="00357260">
      <w:r w:rsidRPr="00357260">
        <w:t>Col. Ex-hacienda "El Canadá"</w:t>
      </w:r>
    </w:p>
    <w:p w:rsidR="00A03512" w:rsidRPr="00357260" w:rsidRDefault="00A03512" w:rsidP="00357260">
      <w:r w:rsidRPr="00357260">
        <w:t>Escobedo, Nuevo León</w:t>
      </w:r>
    </w:p>
    <w:p w:rsidR="00A03512" w:rsidRPr="00357260" w:rsidRDefault="00A03512" w:rsidP="00357260">
      <w:r w:rsidRPr="00357260">
        <w:t>(81) 1340 4391; cel. 844 1053580</w:t>
      </w:r>
    </w:p>
    <w:p w:rsidR="00A03512" w:rsidRPr="00357260" w:rsidRDefault="00A03512" w:rsidP="00357260">
      <w:hyperlink r:id="rId13" w:history="1">
        <w:r w:rsidRPr="00357260">
          <w:rPr>
            <w:rStyle w:val="Hyperlink"/>
          </w:rPr>
          <w:t>rogelio.carrera-trevino@ttu.edu</w:t>
        </w:r>
      </w:hyperlink>
    </w:p>
    <w:p w:rsidR="00A03512" w:rsidRDefault="00A03512">
      <w:pPr>
        <w:spacing w:after="200" w:line="276" w:lineRule="auto"/>
        <w:rPr>
          <w:b/>
          <w:bCs/>
          <w:sz w:val="32"/>
          <w:szCs w:val="32"/>
        </w:rPr>
      </w:pPr>
      <w:r>
        <w:rPr>
          <w:b/>
          <w:bCs/>
          <w:sz w:val="32"/>
          <w:szCs w:val="32"/>
        </w:rPr>
        <w:br w:type="page"/>
      </w:r>
    </w:p>
    <w:p w:rsidR="00A03512" w:rsidRDefault="00A03512" w:rsidP="004604FA">
      <w:pPr>
        <w:rPr>
          <w:b/>
          <w:bCs/>
          <w:sz w:val="32"/>
          <w:szCs w:val="32"/>
        </w:rPr>
      </w:pPr>
    </w:p>
    <w:p w:rsidR="00A03512" w:rsidRPr="009655BA" w:rsidRDefault="00A03512" w:rsidP="004604FA">
      <w:pPr>
        <w:rPr>
          <w:b/>
          <w:bCs/>
          <w:sz w:val="32"/>
          <w:szCs w:val="32"/>
        </w:rPr>
      </w:pPr>
      <w:r w:rsidRPr="009655BA">
        <w:rPr>
          <w:b/>
          <w:bCs/>
          <w:sz w:val="32"/>
          <w:szCs w:val="32"/>
        </w:rPr>
        <w:t>Contenido</w:t>
      </w:r>
    </w:p>
    <w:p w:rsidR="00A03512" w:rsidRDefault="00A03512" w:rsidP="004604FA"/>
    <w:p w:rsidR="00A03512" w:rsidRDefault="00A03512" w:rsidP="004604FA"/>
    <w:p w:rsidR="00A03512" w:rsidRDefault="00A03512" w:rsidP="004604FA"/>
    <w:p w:rsidR="00A03512" w:rsidRDefault="00A03512" w:rsidP="004604FA">
      <w:r>
        <w:t>Prefacio……………………………………………………………………………………………3</w:t>
      </w:r>
    </w:p>
    <w:p w:rsidR="00A03512" w:rsidRDefault="00A03512" w:rsidP="004604FA"/>
    <w:p w:rsidR="00A03512" w:rsidRDefault="00A03512" w:rsidP="004604FA">
      <w:r>
        <w:t>Introducción……………………………………………………………………………………….4</w:t>
      </w:r>
    </w:p>
    <w:p w:rsidR="00A03512" w:rsidRDefault="00A03512" w:rsidP="004604FA">
      <w:pPr>
        <w:ind w:firstLine="720"/>
      </w:pPr>
    </w:p>
    <w:p w:rsidR="00A03512" w:rsidRDefault="00A03512" w:rsidP="004604FA">
      <w:pPr>
        <w:ind w:firstLine="720"/>
      </w:pPr>
      <w:r>
        <w:t>Antecedentes……………………………………………………………………………...4</w:t>
      </w:r>
    </w:p>
    <w:p w:rsidR="00A03512" w:rsidRDefault="00A03512" w:rsidP="004604FA">
      <w:pPr>
        <w:ind w:firstLine="720"/>
      </w:pPr>
      <w:r>
        <w:t>Metodología para el Monitoreo de Signos Vitales………………………………………..5</w:t>
      </w:r>
    </w:p>
    <w:p w:rsidR="00A03512" w:rsidRDefault="00A03512" w:rsidP="004604FA">
      <w:pPr>
        <w:ind w:firstLine="720"/>
      </w:pPr>
      <w:r>
        <w:t>Objetivos…………………………………………………………………………………..7</w:t>
      </w:r>
    </w:p>
    <w:p w:rsidR="00A03512" w:rsidRDefault="00A03512" w:rsidP="004604FA">
      <w:pPr>
        <w:ind w:firstLine="720"/>
      </w:pPr>
      <w:r>
        <w:t>Descripción del COBIO…………………………………………………………………...7</w:t>
      </w:r>
    </w:p>
    <w:p w:rsidR="00A03512" w:rsidRDefault="00A03512" w:rsidP="004604FA"/>
    <w:p w:rsidR="00A03512" w:rsidRDefault="00A03512" w:rsidP="004604FA">
      <w:r>
        <w:t>Modelos Conceptuales…………………………………………………………………………...14</w:t>
      </w:r>
    </w:p>
    <w:p w:rsidR="00A03512" w:rsidRDefault="00A03512" w:rsidP="004604FA">
      <w:r>
        <w:tab/>
      </w:r>
    </w:p>
    <w:p w:rsidR="00A03512" w:rsidRDefault="00A03512" w:rsidP="004604FA">
      <w:pPr>
        <w:ind w:firstLine="720"/>
      </w:pPr>
      <w:r>
        <w:t>Descripción del modelo Jenny-Chapin…………………………………………………..14</w:t>
      </w:r>
    </w:p>
    <w:p w:rsidR="00A03512" w:rsidRDefault="00A03512" w:rsidP="004604FA">
      <w:r>
        <w:tab/>
        <w:t>Modelos Conceptuales para Ecosistemas del COBIO…………………………………...19</w:t>
      </w:r>
    </w:p>
    <w:p w:rsidR="00A03512" w:rsidRDefault="00A03512" w:rsidP="004604FA">
      <w:r>
        <w:tab/>
        <w:t>Ecosistema de Bosque……………………………………………………………………19</w:t>
      </w:r>
    </w:p>
    <w:p w:rsidR="00A03512" w:rsidRDefault="00A03512" w:rsidP="004604FA">
      <w:r>
        <w:tab/>
        <w:t>Ecosistema de Faldeos de la Sierra………………………………………………………20</w:t>
      </w:r>
    </w:p>
    <w:p w:rsidR="00A03512" w:rsidRDefault="00A03512" w:rsidP="004604FA">
      <w:r>
        <w:tab/>
        <w:t>Ecosistema de Pastizales…………………………………………………………………21</w:t>
      </w:r>
    </w:p>
    <w:p w:rsidR="00A03512" w:rsidRDefault="00A03512" w:rsidP="004604FA">
      <w:pPr>
        <w:ind w:firstLine="720"/>
      </w:pPr>
      <w:r>
        <w:t>Ecosistema de Desierto…………………………………………………………………..21</w:t>
      </w:r>
    </w:p>
    <w:p w:rsidR="00A03512" w:rsidRDefault="00A03512" w:rsidP="004604FA">
      <w:pPr>
        <w:ind w:firstLine="720"/>
      </w:pPr>
      <w:r>
        <w:t>Ecosistema del Rio Bravo………………………………………………………………..24</w:t>
      </w:r>
    </w:p>
    <w:p w:rsidR="00A03512" w:rsidRDefault="00A03512" w:rsidP="004604FA"/>
    <w:p w:rsidR="00A03512" w:rsidRDefault="00A03512" w:rsidP="004604FA">
      <w:r>
        <w:t>Signos Vitales……………………………………………………………………………………27</w:t>
      </w:r>
    </w:p>
    <w:p w:rsidR="00A03512" w:rsidRDefault="00A03512" w:rsidP="004604FA">
      <w:r>
        <w:tab/>
      </w:r>
    </w:p>
    <w:p w:rsidR="00A03512" w:rsidRDefault="00A03512" w:rsidP="004604FA">
      <w:pPr>
        <w:ind w:firstLine="720"/>
      </w:pPr>
      <w:r>
        <w:t>Taller de Asignación de Signos Vitales………………………………………………….27</w:t>
      </w:r>
    </w:p>
    <w:p w:rsidR="00A03512" w:rsidRDefault="00A03512" w:rsidP="004604FA">
      <w:r>
        <w:tab/>
        <w:t>Catalogo de Signos Vitales del COBIO y Metodologías Propuestas……………………28</w:t>
      </w:r>
    </w:p>
    <w:p w:rsidR="00A03512" w:rsidRDefault="00A03512" w:rsidP="004604FA"/>
    <w:p w:rsidR="00A03512" w:rsidRDefault="00A03512" w:rsidP="004604FA">
      <w:r>
        <w:t>Recomendaciones Técnicas……………………………………………………………………...35</w:t>
      </w:r>
    </w:p>
    <w:p w:rsidR="00A03512" w:rsidRDefault="00A03512" w:rsidP="004604FA"/>
    <w:p w:rsidR="00A03512" w:rsidRDefault="00A03512" w:rsidP="004604FA">
      <w:r>
        <w:t>Literatura Citada…………………………………………………………………………………37</w:t>
      </w:r>
    </w:p>
    <w:p w:rsidR="00A03512" w:rsidRDefault="00A03512" w:rsidP="004604FA"/>
    <w:p w:rsidR="00A03512" w:rsidRDefault="00A03512" w:rsidP="004604FA">
      <w:r w:rsidRPr="004604FA">
        <w:t xml:space="preserve">Anexo I. Comité de Monitoreo de Signos Vitales para la Región </w:t>
      </w:r>
    </w:p>
    <w:p w:rsidR="00A03512" w:rsidRDefault="00A03512" w:rsidP="004604FA">
      <w:pPr>
        <w:tabs>
          <w:tab w:val="left" w:pos="720"/>
        </w:tabs>
      </w:pPr>
      <w:r>
        <w:tab/>
      </w:r>
      <w:r w:rsidRPr="004604FA">
        <w:t>Noreste y Sierra Madre Oriental</w:t>
      </w:r>
      <w:r>
        <w:t>…………………………………………………………40</w:t>
      </w:r>
    </w:p>
    <w:p w:rsidR="00A03512" w:rsidRDefault="00A03512" w:rsidP="004604FA">
      <w:pPr>
        <w:tabs>
          <w:tab w:val="left" w:pos="720"/>
        </w:tabs>
      </w:pPr>
    </w:p>
    <w:p w:rsidR="00A03512" w:rsidRDefault="00A03512" w:rsidP="00C47C3D">
      <w:r w:rsidRPr="00C47C3D">
        <w:t xml:space="preserve">Anexo II. Listado de Participantes del </w:t>
      </w:r>
      <w:r>
        <w:t xml:space="preserve">Taller de </w:t>
      </w:r>
      <w:r w:rsidRPr="00C47C3D">
        <w:t xml:space="preserve">Monitoreo de </w:t>
      </w:r>
    </w:p>
    <w:p w:rsidR="00A03512" w:rsidRDefault="00A03512" w:rsidP="00C47C3D">
      <w:pPr>
        <w:ind w:firstLine="720"/>
      </w:pPr>
      <w:r w:rsidRPr="00C47C3D">
        <w:t xml:space="preserve">Signos Vitales en El Corredor Biológico Cañón de </w:t>
      </w:r>
    </w:p>
    <w:p w:rsidR="00A03512" w:rsidRPr="00C47C3D" w:rsidRDefault="00A03512" w:rsidP="00C47C3D">
      <w:pPr>
        <w:ind w:firstLine="720"/>
      </w:pPr>
      <w:r w:rsidRPr="00C47C3D">
        <w:t>Santa Elena-Maderas del Carmen</w:t>
      </w:r>
      <w:r>
        <w:t>………………………………………………………..42</w:t>
      </w:r>
    </w:p>
    <w:p w:rsidR="00A03512" w:rsidRPr="00C47C3D" w:rsidRDefault="00A03512" w:rsidP="00C47C3D">
      <w:pPr>
        <w:tabs>
          <w:tab w:val="left" w:pos="720"/>
        </w:tabs>
      </w:pPr>
    </w:p>
    <w:p w:rsidR="00A03512" w:rsidRDefault="00A03512" w:rsidP="004604FA">
      <w:r>
        <w:tab/>
      </w:r>
    </w:p>
    <w:p w:rsidR="00A03512" w:rsidRDefault="00A03512" w:rsidP="006E5ABC">
      <w:r>
        <w:tab/>
      </w:r>
      <w:r>
        <w:br w:type="page"/>
      </w:r>
    </w:p>
    <w:p w:rsidR="00A03512" w:rsidRDefault="00A03512">
      <w:pPr>
        <w:spacing w:after="200" w:line="276" w:lineRule="auto"/>
        <w:rPr>
          <w:b/>
          <w:bCs/>
          <w:sz w:val="32"/>
          <w:szCs w:val="32"/>
        </w:rPr>
        <w:sectPr w:rsidR="00A03512" w:rsidSect="00A57677">
          <w:headerReference w:type="default" r:id="rId14"/>
          <w:footerReference w:type="default" r:id="rId15"/>
          <w:pgSz w:w="12240" w:h="15840"/>
          <w:pgMar w:top="1417" w:right="1440" w:bottom="1417" w:left="1440" w:header="720" w:footer="720" w:gutter="0"/>
          <w:pgNumType w:start="1"/>
          <w:cols w:space="720"/>
          <w:docGrid w:linePitch="360"/>
        </w:sectPr>
      </w:pPr>
    </w:p>
    <w:p w:rsidR="00A03512" w:rsidRPr="009655BA" w:rsidRDefault="00A03512">
      <w:pPr>
        <w:spacing w:after="200" w:line="276" w:lineRule="auto"/>
        <w:rPr>
          <w:b/>
          <w:bCs/>
          <w:sz w:val="32"/>
          <w:szCs w:val="32"/>
        </w:rPr>
      </w:pPr>
      <w:r w:rsidRPr="009655BA">
        <w:rPr>
          <w:b/>
          <w:bCs/>
          <w:sz w:val="32"/>
          <w:szCs w:val="32"/>
        </w:rPr>
        <w:t>Prefacio</w:t>
      </w:r>
    </w:p>
    <w:p w:rsidR="00A03512" w:rsidRPr="009655BA" w:rsidRDefault="00A03512" w:rsidP="00665575">
      <w:pPr>
        <w:spacing w:after="200" w:line="360" w:lineRule="auto"/>
        <w:rPr>
          <w:b/>
          <w:bCs/>
        </w:rPr>
      </w:pPr>
      <w:r>
        <w:t xml:space="preserve">El presente documento es producto de una consultoría realizada bajo el convenio OL80/Fuente donante y clave del proyecto: 001/MX085800, del Programa Desierto Chihuahuense del Fondo Mundial para la Naturaleza (WWF), como parte de los esfuerzos de dicho programa para la conservación de las áreas naturales protegidas del Desierto Chihuahuense y con la ayuda de múltiples organizaciones e individuos colaboradores. De acuerdo al citado convenio, este documento es un primer borrador de un manual de monitoreo de signos vitales dirigido a manejadores de áreas naturales protegidas que sirve de línea base para implementar estrategias de monitoreo en campo. De esta manera el presente documento representas un trabajo en progreso que deberá ser enriquecido antes de ser finalmente implementado en campo. Para la realización del presente documento se realizaron 2 talleres, el primero en </w:t>
      </w:r>
      <w:r w:rsidRPr="00C31E6B">
        <w:rPr>
          <w:i/>
          <w:iCs/>
        </w:rPr>
        <w:t>White Sands National Monument</w:t>
      </w:r>
      <w:r>
        <w:t xml:space="preserve">, en Nuevo México, Estados Unidos de América en mayo de 2011, y el segundo en San Nicolás de los Garza, Nuevo León en mayo del mismo año. Asimismo, se realizaron múltiples reuniones de trabajo con personal de la Dirección Regional Noreste y Sierra Madre Oriental, y directores de áreas protegidas de la CONANP, así como se tuvo la participación de un gran número de investigadores especialistas de las ciencias de la tierra y atmosfera, ciencias de la vida, ciencias sociales, y ciencias agropecuarias. Se agradece entonces las atenciones recibidas y su ayuda en la elaboración del presente documento a las siguientes instituciones; </w:t>
      </w:r>
      <w:r w:rsidRPr="00471F1E">
        <w:rPr>
          <w:i/>
          <w:iCs/>
        </w:rPr>
        <w:t>U.S. National Park Service International Conservation Program</w:t>
      </w:r>
      <w:r>
        <w:t xml:space="preserve">, </w:t>
      </w:r>
      <w:r w:rsidRPr="00471F1E">
        <w:rPr>
          <w:i/>
          <w:iCs/>
        </w:rPr>
        <w:t>White Sands National Monument</w:t>
      </w:r>
      <w:r>
        <w:t xml:space="preserve">, </w:t>
      </w:r>
      <w:r w:rsidRPr="00471F1E">
        <w:rPr>
          <w:i/>
          <w:iCs/>
        </w:rPr>
        <w:t>U.S. National Park Service-Intermountain Regional Office</w:t>
      </w:r>
      <w:r>
        <w:t xml:space="preserve">, </w:t>
      </w:r>
      <w:r w:rsidRPr="00471F1E">
        <w:rPr>
          <w:i/>
          <w:iCs/>
        </w:rPr>
        <w:t>U.S. National Park Service-Regional Inventory &amp; Monitoring Program</w:t>
      </w:r>
      <w:r>
        <w:t xml:space="preserve">, </w:t>
      </w:r>
      <w:r w:rsidRPr="00471F1E">
        <w:rPr>
          <w:i/>
          <w:iCs/>
        </w:rPr>
        <w:t>U.S. National Park Service-Chihuahuan Desert Network</w:t>
      </w:r>
      <w:r>
        <w:t xml:space="preserve">, </w:t>
      </w:r>
      <w:r w:rsidRPr="00471F1E">
        <w:rPr>
          <w:i/>
          <w:iCs/>
        </w:rPr>
        <w:t>University of New Mexico</w:t>
      </w:r>
      <w:r>
        <w:t>, Dirección Regional Noreste y Sierra Madre Oriental-CONANP, Dirección de Estrategias de Cambio Climático-CONANP, Dirección del Área de Protección de Flora y Fauna Maderas del Carmen, Dirección del Área de Protección de Flora y Fauna Cañón de Santa Elena, Dirección del Área de Protección de Flora y Fauna Cuatrocienegas, Universidad Autónoma de Nuevo León, Universidad Autónoma Agraria Antonio Narro, Universidad Nacional Autónoma de México, Universidad Autónoma de Ciudad Juárez, Universidad Juárez del Estado de Durango.</w:t>
      </w:r>
      <w:r w:rsidRPr="009655BA">
        <w:rPr>
          <w:b/>
          <w:bCs/>
        </w:rPr>
        <w:br w:type="page"/>
      </w:r>
    </w:p>
    <w:p w:rsidR="00A03512" w:rsidRDefault="00A03512" w:rsidP="006E4BAB">
      <w:r>
        <w:pict>
          <v:rect id="_x0000_i1026" style="width:468pt;height:6pt" o:hralign="center" o:hrstd="t" o:hrnoshade="t" o:hr="t" fillcolor="#17365d" stroked="f"/>
        </w:pict>
      </w:r>
    </w:p>
    <w:p w:rsidR="00A03512" w:rsidRPr="009655BA" w:rsidRDefault="00A03512" w:rsidP="003B71D4">
      <w:pPr>
        <w:pBdr>
          <w:bottom w:val="single" w:sz="4" w:space="1" w:color="auto"/>
        </w:pBdr>
        <w:spacing w:line="360" w:lineRule="auto"/>
        <w:rPr>
          <w:b/>
          <w:bCs/>
          <w:sz w:val="32"/>
          <w:szCs w:val="32"/>
        </w:rPr>
      </w:pPr>
      <w:r w:rsidRPr="009655BA">
        <w:rPr>
          <w:b/>
          <w:bCs/>
          <w:sz w:val="32"/>
          <w:szCs w:val="32"/>
        </w:rPr>
        <w:t>Introducción</w:t>
      </w:r>
    </w:p>
    <w:p w:rsidR="00A03512" w:rsidRDefault="00A03512" w:rsidP="003B71D4">
      <w:pPr>
        <w:spacing w:line="360" w:lineRule="auto"/>
      </w:pPr>
    </w:p>
    <w:p w:rsidR="00A03512" w:rsidRDefault="00A03512" w:rsidP="003B71D4">
      <w:pPr>
        <w:spacing w:line="360" w:lineRule="auto"/>
        <w:rPr>
          <w:b/>
          <w:bCs/>
        </w:rPr>
      </w:pPr>
      <w:r w:rsidRPr="003B71D4">
        <w:rPr>
          <w:b/>
          <w:bCs/>
        </w:rPr>
        <w:t>Antecedentes</w:t>
      </w:r>
    </w:p>
    <w:p w:rsidR="00A03512" w:rsidRPr="003B71D4" w:rsidRDefault="00A03512" w:rsidP="003B71D4">
      <w:pPr>
        <w:spacing w:line="360" w:lineRule="auto"/>
        <w:rPr>
          <w:b/>
          <w:bCs/>
        </w:rPr>
      </w:pPr>
    </w:p>
    <w:p w:rsidR="00A03512" w:rsidRDefault="00A03512" w:rsidP="003B71D4">
      <w:pPr>
        <w:spacing w:line="360" w:lineRule="auto"/>
      </w:pPr>
      <w:r>
        <w:t>Los sistemas naturales del planeta se ven cada vez más afectados por las actividades humanas incluyendo la sobreexplotación de los recursos naturales, contaminación, fragmentación del hábitat, e introducción de especies; por lo que se estima que 60% de los servicios ecosistémicos del planeta sufren procesos de degradación o se sobreexplotan (Hassan et al. 2005). Las áreas naturales protegidas (ANPs) son una herramienta utilizada por los gobiernos para frenar dichos procesos de degradación y perdida de la biodiversidad, particularmente en sitios con recursos sobresalientes. Por otro lado, e</w:t>
      </w:r>
      <w:r w:rsidRPr="003E4DAC">
        <w:t>n los últimos años la comunidad científica ha trabajado intensamente en describir efectos observados y potenciales del cambio climático global sobre los ecosistemas y las especies que en ellos habitan</w:t>
      </w:r>
      <w:r>
        <w:t xml:space="preserve"> (IPCC 2007)</w:t>
      </w:r>
      <w:r w:rsidRPr="003E4DAC">
        <w:t>. En respuesta a estos efectos anticipados debido al cambio climático, los gobiernos y organizaciones conservacionistas están desarrollando y adoptando estrategias encaminadas a la adaptac</w:t>
      </w:r>
      <w:r>
        <w:t>ión y mitigación de sus</w:t>
      </w:r>
      <w:r w:rsidRPr="003E4DAC">
        <w:t xml:space="preserve"> efectos sobre las sociedades humanas y los sistemas ecológicos</w:t>
      </w:r>
      <w:r>
        <w:t xml:space="preserve"> (Programa Especial de Cambio Climático 2009)</w:t>
      </w:r>
      <w:r w:rsidRPr="003E4DAC">
        <w:t xml:space="preserve">. </w:t>
      </w:r>
      <w:r>
        <w:t>L</w:t>
      </w:r>
      <w:r w:rsidRPr="003E4DAC">
        <w:t xml:space="preserve">a Comisión Nacional de Áreas Naturales Protegidas (CONANP) </w:t>
      </w:r>
      <w:r>
        <w:t>cuenta</w:t>
      </w:r>
      <w:r w:rsidRPr="003E4DAC">
        <w:t xml:space="preserve"> con una propia estrategia de acción institucional para responder a las amenazas del ca</w:t>
      </w:r>
      <w:r>
        <w:t xml:space="preserve">mbio climático y fortalecer sus capacidades </w:t>
      </w:r>
      <w:r w:rsidRPr="003E4DAC">
        <w:t>para enfrentar este gran reto</w:t>
      </w:r>
      <w:r>
        <w:t xml:space="preserve"> (CONANP 2010a)</w:t>
      </w:r>
      <w:r w:rsidRPr="003E4DAC">
        <w:t xml:space="preserve">. </w:t>
      </w:r>
    </w:p>
    <w:p w:rsidR="00A03512" w:rsidRDefault="00A03512" w:rsidP="003B71D4">
      <w:pPr>
        <w:spacing w:line="360" w:lineRule="auto"/>
      </w:pPr>
    </w:p>
    <w:p w:rsidR="00A03512" w:rsidRDefault="00A03512" w:rsidP="003B71D4">
      <w:pPr>
        <w:spacing w:line="360" w:lineRule="auto"/>
      </w:pPr>
      <w:r>
        <w:t xml:space="preserve">El conocer la condición de los recursos naturales en las ANPs a través de actividades de inventarios y monitoreos es esencial para el manejo de estas áreas. El gobierno federal de los Estados Unidos de América reconociendo lo anterior inició en 1999 un ambicioso plan de acción para la conservación de los recursos naturales en los parques nacionales (U.S. National Park Service 1999). Este plan básicamente pretende responder a las preguntas de ¿qué recursos naturales están protegiendo los parques nacionales?, ¿cuál es la condición de dichos recursos naturales?, y ¿cómo cambia dicha condición a través del tiempo? Para cumplir con su objetivo, el mencionado plan implementó una estrategia a largo plazo para el monitoreo de los “signos vitales” de la salud de los ecosistemas y condición de los recursos naturales, que se lleva a cabo en 270 parques nacionales agrupados en 32 redes regionales que utilizan un marco </w:t>
      </w:r>
      <w:r w:rsidRPr="007C1388">
        <w:t xml:space="preserve">lógico y un proceso de planificación consistentes (Fancy et al. 2009, National Park Service 2010). </w:t>
      </w:r>
      <w:r>
        <w:t xml:space="preserve">Las actividades de </w:t>
      </w:r>
      <w:r w:rsidRPr="007C1388">
        <w:t>monitoreo en las áreas protegidas</w:t>
      </w:r>
      <w:r>
        <w:t xml:space="preserve"> de nuestro país</w:t>
      </w:r>
      <w:r w:rsidRPr="007C1388">
        <w:t xml:space="preserve"> ha</w:t>
      </w:r>
      <w:r>
        <w:t>n sido muy limitadas</w:t>
      </w:r>
      <w:r w:rsidRPr="007C1388">
        <w:t xml:space="preserve"> y se </w:t>
      </w:r>
      <w:r>
        <w:t>han</w:t>
      </w:r>
      <w:r w:rsidRPr="007C1388">
        <w:t xml:space="preserve"> dirigido solamente a unas pocas especies carismáticas (por ejemplo mariposa monarca, ballena gris, tortugas marinas) y solamente en un puñado de áreas p</w:t>
      </w:r>
      <w:r>
        <w:t>rotegidas; las cuales</w:t>
      </w:r>
      <w:r w:rsidRPr="007C1388">
        <w:t xml:space="preserve"> conforman el Sistema de Información, Monitoreo y Evaluación para la Conservación (SIMEC; CONANP 2010</w:t>
      </w:r>
      <w:r>
        <w:t>b</w:t>
      </w:r>
      <w:r w:rsidRPr="007C1388">
        <w:t xml:space="preserve">). </w:t>
      </w:r>
      <w:r>
        <w:t xml:space="preserve"> La Región Noreste y Sierra Madre Oriental de CONANP en sus procesos internos de planificación ha identificado a la metodología de “signos vitales” como una estrategia idónea no solo para implementar acciones de monitoreo de recursos naturales a largo plazo en sus áreas protegidas, sino como una gran oportunidad para al mismo tiempo obtener información valiosa que permita implementar acciones de adaptación y mitigación frente al cambio climático </w:t>
      </w:r>
      <w:r w:rsidRPr="009B039A">
        <w:t>(</w:t>
      </w:r>
      <w:r>
        <w:t>CONANP 2007, CONANP 2010c). Desde el 2009, personal de la Región Noreste y Sierra Madre Oriental de CONANP ha conducido una serie de reuniones y talleres encaminados a establecer un programa de monitoreo de signos vitales para las ANPs de la región. Estas actividades han incluido talleres de planificación con la participación de manejadores de recursos naturales y especialistas de las ciencias de la vida, de la tierra, sociales, económicas y de la atmosfera con el objeto de definir los “signos vitales” más apropiados para las áreas protegidas del corredor biológico Cañón de Santa Elena-Maderas del Carmen (COBIO) del desierto chihuahuense, así como para establecer la línea base para implementar la estrategia de monitoreo en campo. Estas actividades incluyeron también la formación de un Comité Regional de Monitoreo de Signos Vitales, integrado por personal de ANPs de la región y con la participación de instituciones colaboradoras (Anexo I). La responsabilidad de este comité es la de dar seguimiento a los esfuerzos para la consolidación del programa de monitoreo y dirigirlos hacia una estrategia regional donde se integren a todas las ANPs de la región.</w:t>
      </w:r>
    </w:p>
    <w:p w:rsidR="00A03512" w:rsidRDefault="00A03512" w:rsidP="003B71D4">
      <w:pPr>
        <w:spacing w:line="360" w:lineRule="auto"/>
      </w:pPr>
    </w:p>
    <w:p w:rsidR="00A03512" w:rsidRDefault="00A03512" w:rsidP="003B71D4">
      <w:pPr>
        <w:spacing w:line="360" w:lineRule="auto"/>
        <w:rPr>
          <w:b/>
          <w:bCs/>
        </w:rPr>
      </w:pPr>
      <w:r>
        <w:rPr>
          <w:b/>
          <w:bCs/>
        </w:rPr>
        <w:t>Metodología para el Monitoreo de Signos V</w:t>
      </w:r>
      <w:r w:rsidRPr="00FD0AC6">
        <w:rPr>
          <w:b/>
          <w:bCs/>
        </w:rPr>
        <w:t>itales</w:t>
      </w:r>
    </w:p>
    <w:p w:rsidR="00A03512" w:rsidRPr="00FD0AC6" w:rsidRDefault="00A03512" w:rsidP="003B71D4">
      <w:pPr>
        <w:spacing w:line="360" w:lineRule="auto"/>
        <w:rPr>
          <w:b/>
          <w:bCs/>
        </w:rPr>
      </w:pPr>
    </w:p>
    <w:p w:rsidR="00A03512" w:rsidRPr="00306586" w:rsidRDefault="00A03512" w:rsidP="003B71D4">
      <w:pPr>
        <w:spacing w:line="360" w:lineRule="auto"/>
      </w:pPr>
      <w:r>
        <w:t>La metodología para el monitoreo de Signos Vitales se enfoca en aspectos físicos, químicos, biológicos y procesos de los ecosistemas en áreas naturales protegidas, los cuales pueden ser representativos de la salud o condiciones generales del ANP; también consideran aquellos atributos que pueden no ser necesariamente indicadores de salud del área pero los cuales son especialmente reconocidos y valorados por la gente. El monitoreo de signos vitales fue creado para aportar información a los manejadores de recursos naturales sobre las condiciones del agua, aire, recursos geológicos, plantas, animales, así como los diversos procesos ecológicos, biológicos y físicos que tienen influencia sobre dichos recursos. La metodología de signos vitales utiliza “talleres de asignación” cuyo resultado son una serie de indicadores que están directamente ligados a un modelo de un ecosistema bajo estrés (Jope 2001), utilizando como base el modelo conceptual de los ecosistemas manejados propuesto por Chapin et al. (1996) y mejor conocido como el modelo Jenny-Chapin. Para facilitar el desarrollo de la metodología, se considera a los ecosistemas como un conjunto de subsistemas bajo una jerarquía de escala y que están interconectados (e.g. un sistema de humedal consiste de componentes como agua, algas, anfibios, plantas e insectos; que a su vez es un componente de un sistema mayor que es la cuenca hidrológica). Bajo este paradigma, se considera a los sistemas como auto regulatorios a través de ciclos de retroalimentación que tienden a amortiguar el cambio. Estos ciclos de retroalimentación pueden persistir bajo grados moderados de estrés, pero cuando el estrés aumenta (e.g. perdida de especies o cambios en el clima) se llega a un punto de inflexión en el cual los ciclos ya no se cumplen y el sistema sufre cambios profundos convirtiéndose en un nuevo sistema con diferentes cualidades. Este cambio en el sistema constituye un desplazamiento básicamente irreversible del sistema hacia un nuevo sistema estable, como cuando décadas de supresión del fuego en una comunidad vegetal conllevan a que se establezca un nuevo sistema que se auto regenera.</w:t>
      </w:r>
    </w:p>
    <w:p w:rsidR="00A03512" w:rsidRDefault="00A03512" w:rsidP="003B71D4">
      <w:pPr>
        <w:spacing w:line="360" w:lineRule="auto"/>
      </w:pPr>
      <w:r>
        <w:t>Los talleres de asignación se realizan con la participación de diversos especialistas de las ciencias de la vida, de la tierra, sociales, económicos y de la atmosfera, donde el primer paso es de el de identificar “agentes de cambio” que a su vez cada uno de estos agentes puede involucrar múltiples fuentes de estrés sobre los sistemas. Una vez identificados los agentes de cambio se aprovechan las diferentes especialidades de los participantes para que según su área identifiquen de una manera más precisa las fuentes de estrés. El siguiente paso es identificar los cambios específicos en el ecosistema que son generados por las fuentes de estrés. Para lo anterior se pueden utilizar como base las guías para la identificación de fuentes de estrés publicadas por la Agencia de Protección Ambiental de los Estados Unidos (USEPA 2000) que señalan la manera en que las actividades humanas pueden afectar los ecosistemas. Con la información en mente, los participantes después listan preguntas especificas sobre monitoreo derivadas del modelo conceptual de ecosistema, efectos, y fuentes de estrés. Estas preguntas específicas serán la base para establecer indicadores medibles, donde algunos de ellos serán diagnósticos de alguna fuente de estrés específica, mientras que otros serán no-diagnósticos donde solo reflejaran el grado de salud general del ecosistema y que puede ser producto de muchos tipos de fuentes de estrés en el ecosistema. Posteriormente, con la participación de los manejadores de recursos de las ANPs y del Comité Regional de Monitoreo de Signos Vitales se clasificaran a los indicadores en una escala de prioridades de 1 a 5 según la significancia, urgencia, o calidad del indicador. El producto del taller es un listado de indicadores propuestos por los especialistas así como de información sobre posibles metodologías, literatura, y nombres de especialistas relevantes para cada indicador. La información del taller es utilizada por el personal del área protegida para elaborar su propio programa de monitoreo de Signos Vitales especifico para su área protegida.</w:t>
      </w:r>
    </w:p>
    <w:p w:rsidR="00A03512" w:rsidRDefault="00A03512" w:rsidP="003B71D4">
      <w:pPr>
        <w:spacing w:line="360" w:lineRule="auto"/>
      </w:pPr>
    </w:p>
    <w:p w:rsidR="00A03512" w:rsidRDefault="00A03512" w:rsidP="003B71D4">
      <w:pPr>
        <w:spacing w:line="360" w:lineRule="auto"/>
        <w:rPr>
          <w:b/>
          <w:bCs/>
        </w:rPr>
      </w:pPr>
      <w:r w:rsidRPr="00E93F8A">
        <w:rPr>
          <w:b/>
          <w:bCs/>
        </w:rPr>
        <w:t>Objetivos</w:t>
      </w:r>
    </w:p>
    <w:p w:rsidR="00A03512" w:rsidRPr="00E93F8A" w:rsidRDefault="00A03512" w:rsidP="003B71D4">
      <w:pPr>
        <w:spacing w:line="360" w:lineRule="auto"/>
        <w:rPr>
          <w:b/>
          <w:bCs/>
        </w:rPr>
      </w:pPr>
    </w:p>
    <w:p w:rsidR="00A03512" w:rsidRDefault="00A03512" w:rsidP="00053C36">
      <w:pPr>
        <w:spacing w:line="360" w:lineRule="auto"/>
      </w:pPr>
      <w:r>
        <w:t>Identificar los indicadores de signos vitales más apropiados para los ecosistemas presentes en las áreas naturales protegidas del corredor biológico Cañón de Santa Elena-Maderas del Carmen en el desierto chihuahuense, y sentar las bases para implementar un sistema regional de monitoreo estandarizado que permita a las áreas protegidas tomar decisiones de manejo y medidas de adaptación y mitigación al cambio climático.</w:t>
      </w:r>
    </w:p>
    <w:p w:rsidR="00A03512" w:rsidRPr="006E71BB" w:rsidRDefault="00A03512" w:rsidP="00053C36">
      <w:pPr>
        <w:spacing w:line="360" w:lineRule="auto"/>
      </w:pPr>
    </w:p>
    <w:p w:rsidR="00A03512" w:rsidRDefault="00A03512" w:rsidP="00E93F8A">
      <w:pPr>
        <w:spacing w:line="360" w:lineRule="auto"/>
        <w:rPr>
          <w:b/>
          <w:bCs/>
        </w:rPr>
      </w:pPr>
      <w:r w:rsidRPr="00E93F8A">
        <w:rPr>
          <w:b/>
          <w:bCs/>
        </w:rPr>
        <w:t>Descripción del COBIO</w:t>
      </w:r>
    </w:p>
    <w:p w:rsidR="00A03512" w:rsidRPr="00E93F8A" w:rsidRDefault="00A03512" w:rsidP="00E93F8A">
      <w:pPr>
        <w:spacing w:line="360" w:lineRule="auto"/>
        <w:rPr>
          <w:b/>
          <w:bCs/>
        </w:rPr>
      </w:pPr>
    </w:p>
    <w:p w:rsidR="00A03512" w:rsidRDefault="00A03512" w:rsidP="00E93F8A">
      <w:pPr>
        <w:autoSpaceDE w:val="0"/>
        <w:autoSpaceDN w:val="0"/>
        <w:adjustRightInd w:val="0"/>
        <w:spacing w:line="360" w:lineRule="auto"/>
      </w:pPr>
      <w:r w:rsidRPr="007946B8">
        <w:t xml:space="preserve">El </w:t>
      </w:r>
      <w:r>
        <w:t xml:space="preserve">COBIO </w:t>
      </w:r>
      <w:r w:rsidRPr="007946B8">
        <w:t>comprende elementos</w:t>
      </w:r>
      <w:r>
        <w:t xml:space="preserve"> </w:t>
      </w:r>
      <w:r w:rsidRPr="007946B8">
        <w:t>representativos de la biodiversidad presente en el Desierto Chihuahuense, sumada a la presencia de</w:t>
      </w:r>
      <w:r>
        <w:t xml:space="preserve"> </w:t>
      </w:r>
      <w:r w:rsidRPr="007946B8">
        <w:t>complejos montañosos donde crecen bosques propios de climas templados en una región con</w:t>
      </w:r>
      <w:r>
        <w:t xml:space="preserve"> </w:t>
      </w:r>
      <w:r w:rsidRPr="007946B8">
        <w:t>buenas expectativas para el desarrollo de estrategias de manejo para la conservación. Es</w:t>
      </w:r>
      <w:r>
        <w:t>t</w:t>
      </w:r>
      <w:r w:rsidRPr="007946B8">
        <w:t>as</w:t>
      </w:r>
      <w:r>
        <w:t xml:space="preserve"> </w:t>
      </w:r>
      <w:r w:rsidRPr="007946B8">
        <w:t>características contribuyeron a que el gobierno de México estableciera</w:t>
      </w:r>
      <w:r>
        <w:t xml:space="preserve"> en esta región 4 ANPs, </w:t>
      </w:r>
      <w:r w:rsidRPr="007946B8">
        <w:t xml:space="preserve"> el área natural protegida Área</w:t>
      </w:r>
      <w:r>
        <w:t xml:space="preserve"> </w:t>
      </w:r>
      <w:r w:rsidRPr="007946B8">
        <w:t xml:space="preserve">de Protección de Flora y Fauna Maderas del Carmen, </w:t>
      </w:r>
      <w:r>
        <w:t xml:space="preserve">con una superficie de 208,381 ha; el </w:t>
      </w:r>
      <w:r w:rsidRPr="007946B8">
        <w:t>Área</w:t>
      </w:r>
      <w:r>
        <w:t xml:space="preserve"> </w:t>
      </w:r>
      <w:r w:rsidRPr="007946B8">
        <w:t>de Protección de Flora y Fauna</w:t>
      </w:r>
      <w:r>
        <w:t xml:space="preserve"> Cañón de Santa Elena, con 277,209 ha; el </w:t>
      </w:r>
      <w:r w:rsidRPr="007946B8">
        <w:t>Área</w:t>
      </w:r>
      <w:r>
        <w:t xml:space="preserve"> </w:t>
      </w:r>
      <w:r w:rsidRPr="007946B8">
        <w:t>de Protección de Flora y Fauna</w:t>
      </w:r>
      <w:r>
        <w:t xml:space="preserve"> Ocampo, con 344,238 ha; y al Monumento Natural Rio Bravo del Norte, con 2,175 ha. Estas ANPs se suman a las áreas protegidas </w:t>
      </w:r>
      <w:r w:rsidRPr="007946B8">
        <w:t xml:space="preserve">en Estados Unidos </w:t>
      </w:r>
      <w:r>
        <w:t>que comprenden al</w:t>
      </w:r>
      <w:r w:rsidRPr="007946B8">
        <w:t xml:space="preserve"> Parque</w:t>
      </w:r>
      <w:r>
        <w:t xml:space="preserve"> </w:t>
      </w:r>
      <w:r w:rsidRPr="007946B8">
        <w:t>Nacional Big Bend, el Área para el Manejo de Vida Silvestre Black Gap y el Parque Estatal Big Bend</w:t>
      </w:r>
      <w:r>
        <w:t xml:space="preserve"> </w:t>
      </w:r>
      <w:r w:rsidRPr="007946B8">
        <w:t xml:space="preserve">Ranch, </w:t>
      </w:r>
      <w:r>
        <w:t xml:space="preserve">por lo que en su conjunto protegen a una extensa parte del </w:t>
      </w:r>
      <w:r w:rsidRPr="007946B8">
        <w:t>Desierto Chihuahuense</w:t>
      </w:r>
      <w:r>
        <w:t xml:space="preserve"> en ambos lados de la frontera y forman </w:t>
      </w:r>
      <w:r w:rsidRPr="007946B8">
        <w:t>un corredor</w:t>
      </w:r>
      <w:r>
        <w:t xml:space="preserve"> </w:t>
      </w:r>
      <w:r w:rsidRPr="007946B8">
        <w:t>binacional con un esquema compartido de protección, cuyo potencial y representatividad</w:t>
      </w:r>
      <w:r>
        <w:t xml:space="preserve"> </w:t>
      </w:r>
      <w:r w:rsidRPr="007946B8">
        <w:t>ecosistémica son únicos a nivel internacional</w:t>
      </w:r>
      <w:r>
        <w:t>,</w:t>
      </w:r>
      <w:r w:rsidRPr="007946B8">
        <w:t xml:space="preserve"> tanto en términos de biodiversidad como de superficie.</w:t>
      </w:r>
      <w:r>
        <w:t xml:space="preserve"> </w:t>
      </w:r>
      <w:r w:rsidRPr="007946B8">
        <w:t>La CONABIO, categoriza a</w:t>
      </w:r>
      <w:r>
        <w:t xml:space="preserve"> </w:t>
      </w:r>
      <w:r w:rsidRPr="007946B8">
        <w:t>l</w:t>
      </w:r>
      <w:r>
        <w:t>as áreas de</w:t>
      </w:r>
      <w:r w:rsidRPr="007946B8">
        <w:t xml:space="preserve"> </w:t>
      </w:r>
      <w:r>
        <w:t xml:space="preserve"> Maderas del Carmen y Cañón de Santa Elena como</w:t>
      </w:r>
      <w:r w:rsidRPr="007946B8">
        <w:t xml:space="preserve"> region</w:t>
      </w:r>
      <w:r>
        <w:t>es</w:t>
      </w:r>
      <w:r w:rsidRPr="007946B8">
        <w:t xml:space="preserve"> terrestre</w:t>
      </w:r>
      <w:r>
        <w:t>s</w:t>
      </w:r>
      <w:r w:rsidRPr="007946B8">
        <w:t xml:space="preserve"> prioritaria</w:t>
      </w:r>
      <w:r>
        <w:t>s</w:t>
      </w:r>
      <w:r w:rsidRPr="007946B8">
        <w:t xml:space="preserve"> (RTP 72</w:t>
      </w:r>
      <w:r>
        <w:t xml:space="preserve"> y RTP 49 respectivamente), que son </w:t>
      </w:r>
      <w:r w:rsidRPr="007946B8">
        <w:t>definida</w:t>
      </w:r>
      <w:r>
        <w:t>s</w:t>
      </w:r>
      <w:r w:rsidRPr="007946B8">
        <w:t xml:space="preserve"> por la</w:t>
      </w:r>
      <w:r>
        <w:t xml:space="preserve"> </w:t>
      </w:r>
      <w:r w:rsidRPr="007946B8">
        <w:t>existencia de una diversidad ecosistémica producto de un gradiente fisiográfico desde ambientes</w:t>
      </w:r>
      <w:r>
        <w:t xml:space="preserve"> </w:t>
      </w:r>
      <w:r w:rsidRPr="007946B8">
        <w:t>propios del desierto chihuahuense en las planicies hasta matorral de encino en las laderas y bosques</w:t>
      </w:r>
      <w:r>
        <w:t xml:space="preserve"> </w:t>
      </w:r>
      <w:r w:rsidRPr="007946B8">
        <w:t>de coníferas en las partes altas, así como la presencia de especies endémicas y en peligro de</w:t>
      </w:r>
      <w:r>
        <w:t xml:space="preserve"> </w:t>
      </w:r>
      <w:r w:rsidRPr="007946B8">
        <w:t xml:space="preserve">extinción. Destacan de manera particular los bosques de </w:t>
      </w:r>
      <w:r w:rsidRPr="007946B8">
        <w:rPr>
          <w:i/>
          <w:iCs/>
        </w:rPr>
        <w:t xml:space="preserve">Pseudotsuga </w:t>
      </w:r>
      <w:r w:rsidRPr="007946B8">
        <w:t xml:space="preserve">sp., </w:t>
      </w:r>
      <w:r w:rsidRPr="007946B8">
        <w:rPr>
          <w:i/>
          <w:iCs/>
        </w:rPr>
        <w:t xml:space="preserve">Abies </w:t>
      </w:r>
      <w:r w:rsidRPr="007946B8">
        <w:t xml:space="preserve">sp., y </w:t>
      </w:r>
      <w:r w:rsidRPr="007946B8">
        <w:rPr>
          <w:i/>
          <w:iCs/>
        </w:rPr>
        <w:t xml:space="preserve">Picea </w:t>
      </w:r>
      <w:r w:rsidRPr="007946B8">
        <w:t>sp.</w:t>
      </w:r>
      <w:r>
        <w:t xml:space="preserve"> en la Sierra de Maderas del Carmen.</w:t>
      </w:r>
      <w:r w:rsidRPr="007946B8">
        <w:t xml:space="preserve"> Los</w:t>
      </w:r>
      <w:r>
        <w:t xml:space="preserve"> </w:t>
      </w:r>
      <w:r w:rsidRPr="007946B8">
        <w:t xml:space="preserve">tipos de vegetación predominantes </w:t>
      </w:r>
      <w:r>
        <w:t xml:space="preserve">del COBIO </w:t>
      </w:r>
      <w:r w:rsidRPr="007946B8">
        <w:t xml:space="preserve">son </w:t>
      </w:r>
      <w:r>
        <w:t xml:space="preserve">matorral desértico, pastizal, chaparral, </w:t>
      </w:r>
      <w:r w:rsidRPr="007946B8">
        <w:t>bosque de pino-encino,</w:t>
      </w:r>
      <w:r>
        <w:t xml:space="preserve"> y vegetación riparia. </w:t>
      </w:r>
      <w:r w:rsidRPr="007946B8">
        <w:t>E</w:t>
      </w:r>
      <w:r>
        <w:t>l río Bravo</w:t>
      </w:r>
      <w:r w:rsidRPr="007946B8">
        <w:t>, proporciona agua para la agricultura, ganadería, la fauna silvestre y</w:t>
      </w:r>
      <w:r>
        <w:t xml:space="preserve"> </w:t>
      </w:r>
      <w:r w:rsidRPr="007946B8">
        <w:t>los ecosistemas ribereños en la región, representando a uno de los ecosistemas acuáticos más</w:t>
      </w:r>
      <w:r>
        <w:t xml:space="preserve"> extensos del Desierto </w:t>
      </w:r>
      <w:r w:rsidRPr="007946B8">
        <w:t>Chihuahuense.</w:t>
      </w:r>
    </w:p>
    <w:p w:rsidR="00A03512" w:rsidRPr="00BC267C" w:rsidRDefault="00A03512" w:rsidP="00BC267C">
      <w:pPr>
        <w:autoSpaceDE w:val="0"/>
        <w:autoSpaceDN w:val="0"/>
        <w:adjustRightInd w:val="0"/>
        <w:spacing w:line="360" w:lineRule="auto"/>
      </w:pPr>
    </w:p>
    <w:p w:rsidR="00A03512" w:rsidRPr="00BC267C" w:rsidRDefault="00A03512" w:rsidP="00BC267C">
      <w:pPr>
        <w:autoSpaceDE w:val="0"/>
        <w:autoSpaceDN w:val="0"/>
        <w:adjustRightInd w:val="0"/>
        <w:spacing w:line="360" w:lineRule="auto"/>
      </w:pPr>
      <w:r w:rsidRPr="00BC267C">
        <w:t>El COBIO comprende a los municipios de Ojinaga y Manuel Benavides en Chihuahua, y  Múzquiz, Ocampo y Acuña en Coahuila, ubicándose en las colindancias de ambos estados y limitado al norte por la frontera formada por el rio Bravo. El acceso en su porción de Coahuila es por las carreteras Melchor Múzquiz-la Cuesta, la Cuesta-el Veinte, camino Melchor Múzquiz-La Linda, camino la Peña-La Linda, entre otros; mientras que por Chihuahua es principalmente por la carretera La Perla-Ojinaga-Manuel Benavides, desde donde se desprenden múltiples brechas dentro del ANP. Las altitudes fluctúan entre los 2,720 msnm, en los picos más altos y los 500 msnm, a la orilla del Río Bravo. Geológicamente, el COBIO se localiza al norte del Altiplano Mexicano, el cual está delimitado al oeste por la Llanura Costera del Pacifico, al este por la Llanura Costera del Golfo, y al sur por el Eje Volcánico Transversal. Esta provincia son zonas de climas áridos donde prevalecen las llanuras interrumpidas por cerros y serranías dispersas, en su mayoría de naturaleza volcánica. Predominan los climas semiseco y templado; la humedad aumenta de norte a sur y del centro hacia los extremos oriental y occidental de la provincia. (INEGI</w:t>
      </w:r>
      <w:r>
        <w:t xml:space="preserve"> 2011</w:t>
      </w:r>
      <w:r w:rsidRPr="00BC267C">
        <w:t>). El COBIO pertenece a la subprovincia de las sierras y llanuras coahuilenses, que se caracteriza por la predominancia de rocas mesozoicas de origen sedimentario marino que forman pequeñas sierras de calizas, plegadas y orientadas de noroeste a sureste, con ejes estructurales bien definidos y con anticlinales alargados c</w:t>
      </w:r>
      <w:r>
        <w:t>on lomos erosionados (INEGI 2011</w:t>
      </w:r>
      <w:r w:rsidRPr="00BC267C">
        <w:t>, Rzedowski 1983). Los suelos presentes en el COBIO son del tipo xerosol, yermosol, planosol, regosol, litosol, fluvisol, feozem y rendzina (CONANP 2008, INE 1997).</w:t>
      </w:r>
    </w:p>
    <w:p w:rsidR="00A03512" w:rsidRPr="00BC267C" w:rsidRDefault="00A03512" w:rsidP="00BC267C">
      <w:pPr>
        <w:autoSpaceDE w:val="0"/>
        <w:autoSpaceDN w:val="0"/>
        <w:adjustRightInd w:val="0"/>
        <w:spacing w:line="360" w:lineRule="auto"/>
      </w:pPr>
    </w:p>
    <w:p w:rsidR="00A03512" w:rsidRPr="00BC267C" w:rsidRDefault="00A03512" w:rsidP="00BC267C">
      <w:pPr>
        <w:autoSpaceDE w:val="0"/>
        <w:autoSpaceDN w:val="0"/>
        <w:adjustRightInd w:val="0"/>
        <w:spacing w:line="360" w:lineRule="auto"/>
      </w:pPr>
      <w:r w:rsidRPr="00BC267C">
        <w:t xml:space="preserve">De acuerdo a la clasificación del clima de Köppen, modificada por García (1978), en el COBIO se consideran tres tipos climáticos: clima muy seco semicálido, con muy bajo porcentaje de lluvias invernales; clima muy seco semicálido, con escasas lluvias todo el año; y clima semiseco templado. El clima más predominante y que se encuentra en los amplios llanos desérticos y en las bajadas tendidas de las sierras (por debajo de1400 msnm), es el </w:t>
      </w:r>
      <w:r>
        <w:t>c</w:t>
      </w:r>
      <w:r w:rsidRPr="00BC267C">
        <w:t>lima muy seco semicálido, con muy bajo porcentaje de lluvias invernales, típico de los suelos de zonas áridas y vegetación de matorrales desérticos o halófilos. Tiene escasas precipitaciones pluviales, que promedian anualmente entre unos 100 a 400 mm y se presentan en su mayoría en verano, en forma de escasos aguaceros y es relativamente común la condición de canícula o sequía interestival, durante los meses de julio y agosto. El porcentaje de lluvias invernales es entre 5 y 10.2% y la temperatura media anual es de entre 18 a casi 22°C. El clima muy seco semicálido, con escasas lluvias todo el año es muy similar al ya descrito en cuanto a temperaturas medias y precipitación anual, este clima ocurre en lomeríos y sierras bajas pero la precipitación se distribuye más uniformemente en el año, de modo que la proporción de lluvia invernal es mayor a 10% del total anual. Finalmente, el clima semiseco templado se restringe a las partes altas de laderas y cumbres de las sierras, por arriba de los 2000 m; caracterizado por temperaturas medias desde los 12 a los 16 ºC, una frecuencia de heladas de 40 a 60 días al año, y precipitación media anual de 500 a 600 mm</w:t>
      </w:r>
      <w:r>
        <w:t xml:space="preserve"> (</w:t>
      </w:r>
      <w:r w:rsidRPr="00BC267C">
        <w:t>CONANP 2008, INE 1997</w:t>
      </w:r>
      <w:r>
        <w:t>, Garcia 1978)</w:t>
      </w:r>
      <w:r w:rsidRPr="00BC267C">
        <w:t xml:space="preserve">. </w:t>
      </w:r>
    </w:p>
    <w:p w:rsidR="00A03512" w:rsidRDefault="00A03512" w:rsidP="00BC267C">
      <w:pPr>
        <w:autoSpaceDE w:val="0"/>
        <w:autoSpaceDN w:val="0"/>
        <w:adjustRightInd w:val="0"/>
        <w:spacing w:line="360" w:lineRule="auto"/>
        <w:rPr>
          <w:b/>
          <w:bCs/>
        </w:rPr>
      </w:pPr>
    </w:p>
    <w:p w:rsidR="00A03512" w:rsidRPr="006D29E9" w:rsidRDefault="00A03512" w:rsidP="006D29E9">
      <w:pPr>
        <w:autoSpaceDE w:val="0"/>
        <w:autoSpaceDN w:val="0"/>
        <w:adjustRightInd w:val="0"/>
        <w:spacing w:line="360" w:lineRule="auto"/>
      </w:pPr>
      <w:r w:rsidRPr="00FC004C">
        <w:t>Las actividades económicas llevadas a cabo por los pobladores de las comunidades del COBIO son principalmente la ganadería extensiva para la cría del ganado bovino, caprino, y equino; la extracción de cera de candelilla; la agricultura de riego y temporal; y el turismo</w:t>
      </w:r>
      <w:r>
        <w:t xml:space="preserve"> (Carrera 1993)</w:t>
      </w:r>
      <w:r w:rsidRPr="00FC004C">
        <w:t>. La mayor parte del área por sus suelos y topografía es considerada como no apta para la agricultura, por lo que la agricultura de temporal que se da en algunas comunidades es de autoconsumo por sus bajos rendimientos. Sin embargo, en el área de Cañón de Santa Elena se encuentra el distrito de riego El Mulato, con 1,200 ha de riego, las cuales sí cuentan con infraestructura y técnicas para una producción más eficiente. En la comunidad de Santa Elena también existe infraestructura de riego, pero con un menor grado de tecnificación y principalmente orientada a la producción de forraje. En la ribera del río San Carlos, se cuenta con 180 ha de riego y el sistema agrícola Presa La Escondida, con 80 ha. En estas áreas agrícolas se practica en mayor y menor grado cultivos de trigo, avena forrajera, cebolla, algodón, frijol, melón, sandía, maíz, sorgo, alfalfa, nogal, pistache,</w:t>
      </w:r>
      <w:r>
        <w:t xml:space="preserve"> </w:t>
      </w:r>
      <w:r w:rsidRPr="00FC004C">
        <w:t xml:space="preserve">y otros cultivos forrajeros. El municipio de Manuel Benavides cuenta con 369 unidades de producción agrícola de las cuales 77 son privadas, 281 ejidales y 11 mixtas. Del total de </w:t>
      </w:r>
      <w:r w:rsidRPr="006D29E9">
        <w:t>unidades rurales el 66% cultivan para autoconsumo, el resto vende sus productos en la región</w:t>
      </w:r>
      <w:r>
        <w:t xml:space="preserve"> (INE 1997)</w:t>
      </w:r>
      <w:r w:rsidRPr="006D29E9">
        <w:t>.</w:t>
      </w:r>
    </w:p>
    <w:p w:rsidR="00A03512" w:rsidRPr="006D29E9" w:rsidRDefault="00A03512" w:rsidP="006D29E9">
      <w:pPr>
        <w:autoSpaceDE w:val="0"/>
        <w:autoSpaceDN w:val="0"/>
        <w:adjustRightInd w:val="0"/>
        <w:spacing w:line="360" w:lineRule="auto"/>
      </w:pPr>
      <w:r w:rsidRPr="006D29E9">
        <w:t>La mayor parte del terreno dentro del COBIO es considerada solamente apta para la fauna silvestre y para una ganadería extensiva limitada por la baja productividad primaria de la vegetación, por lo que se estiman coeficientes de agostadero que van desde las 10 ha/unidad animal en las zonas de chaparral, hasta las 70 ha/unidad animal en los matorrales desérticos (COTECOCA 1979). La mayor parte del uso pecuario se desarrolla en las partes medias y bajas, desde el pie de monte y lomeríos hasta los márgenes del Rio Bravo. La ganadería practicada por las comunidades dentro del COBIO se caracteriza por la falta de desarrollo de infraestructura y poca tecnificación,  por contar con aguajes limitados, mantener altas cargas animales, y por la alta presencia de ganado equino, y por mantener vientres improductivos (Carrera-Treviño 1998). El uso forestal en el COBIO se restringe al uso ocasional de especies maderables para uso doméstico de los pobladores que viven cerca de las áreas con arbolado, y del mezquite para leña en las partes bajas. El principal uso forestal en el área es el del aprovechamiento de la candelilla para la extracción y venta de su cera en bruto. Esta actividad es muy importante para los ingresos de muchas familias de la región y se ha desarrollado de una manera indiscriminada, ocasionando la extirpación de poblaciones enteras en las comunidades donde esta actividad está más arraigada, principalmente en las comunidades de la porción de Coahuila</w:t>
      </w:r>
      <w:r>
        <w:t xml:space="preserve"> (CONANP 2008, INE 1997)</w:t>
      </w:r>
      <w:r w:rsidRPr="006D29E9">
        <w:t xml:space="preserve">.  </w:t>
      </w:r>
    </w:p>
    <w:p w:rsidR="00A03512" w:rsidRPr="006D29E9" w:rsidRDefault="00A03512" w:rsidP="006D29E9">
      <w:pPr>
        <w:autoSpaceDE w:val="0"/>
        <w:autoSpaceDN w:val="0"/>
        <w:adjustRightInd w:val="0"/>
        <w:spacing w:line="360" w:lineRule="auto"/>
      </w:pPr>
    </w:p>
    <w:p w:rsidR="00A03512" w:rsidRPr="006D29E9" w:rsidRDefault="00A03512" w:rsidP="006D29E9">
      <w:pPr>
        <w:autoSpaceDE w:val="0"/>
        <w:autoSpaceDN w:val="0"/>
        <w:adjustRightInd w:val="0"/>
        <w:spacing w:line="360" w:lineRule="auto"/>
      </w:pPr>
      <w:r w:rsidRPr="006D29E9">
        <w:t>Las  condiciones de topografía del COBIO ocasiona</w:t>
      </w:r>
      <w:r>
        <w:t>n</w:t>
      </w:r>
      <w:r w:rsidRPr="006D29E9">
        <w:t xml:space="preserve"> que existan zonas altas (hasta 2,750 msnm) con precipitaciones altas y temperaturas bajas, distintas del ambiente desértico que las rodea. Estas condiciones han permitido la sobrevivencia de especies y comunidades relictas de cuando los bosques templados dominaban la Mesa Central y las sierras del norte de México, hace por lo menos 9,000 años. Debido a lo anterior por encima de las superficies con matorral desértico crecen bosques de encino y bosques de pino, que contienen también oyameles, piceas y hallarines, considerándose un relicto de bosques pleistosénicos glaciales. La vegetación presente en el COBIO de acuerdo a la información cartográfica de INEGI</w:t>
      </w:r>
      <w:r>
        <w:t xml:space="preserve"> y descrita en CONANP (2008)</w:t>
      </w:r>
      <w:r w:rsidRPr="006D29E9">
        <w:t xml:space="preserve"> es la siguiente: </w:t>
      </w:r>
      <w:r w:rsidRPr="006D29E9">
        <w:rPr>
          <w:b/>
          <w:bCs/>
        </w:rPr>
        <w:t>Bosque de hayarín</w:t>
      </w:r>
      <w:r w:rsidRPr="006D29E9">
        <w:t xml:space="preserve">, con dominancia de </w:t>
      </w:r>
      <w:r w:rsidRPr="006D29E9">
        <w:rPr>
          <w:i/>
          <w:iCs/>
        </w:rPr>
        <w:t xml:space="preserve">Pinus arizonica, </w:t>
      </w:r>
      <w:r w:rsidRPr="006D29E9">
        <w:t>donde no abundan arbustos ni zacates, los estratos inferiores contienen herbáceas y otras especies tolerantes a la sombra. Se localiza en las partes altas de la Sierra del Carmen y se pueden encontrar las siguientes especies</w:t>
      </w:r>
      <w:r w:rsidRPr="006D29E9">
        <w:rPr>
          <w:i/>
          <w:iCs/>
        </w:rPr>
        <w:t>, Pinus arizonica, Pseudotsuga taxifolia, Cupressus</w:t>
      </w:r>
      <w:r w:rsidRPr="006D29E9">
        <w:t xml:space="preserve"> </w:t>
      </w:r>
      <w:r w:rsidRPr="006D29E9">
        <w:rPr>
          <w:i/>
          <w:iCs/>
        </w:rPr>
        <w:t>arizonica, Quercus gravesii, Q. hypoleucoides, Q. muhlenbergii, Populus tremuloides, Hacer</w:t>
      </w:r>
      <w:r w:rsidRPr="006D29E9">
        <w:t xml:space="preserve"> </w:t>
      </w:r>
      <w:r w:rsidRPr="006D29E9">
        <w:rPr>
          <w:i/>
          <w:iCs/>
        </w:rPr>
        <w:t xml:space="preserve">brachyterum. </w:t>
      </w:r>
      <w:r w:rsidRPr="006D29E9">
        <w:t xml:space="preserve">Entre las especies arbustivas están </w:t>
      </w:r>
      <w:r w:rsidRPr="006D29E9">
        <w:rPr>
          <w:i/>
          <w:iCs/>
        </w:rPr>
        <w:t>Cyanothus coeruleus, Stypa tenuísima,</w:t>
      </w:r>
      <w:r w:rsidRPr="006D29E9">
        <w:t xml:space="preserve"> </w:t>
      </w:r>
      <w:r w:rsidRPr="006D29E9">
        <w:rPr>
          <w:i/>
          <w:iCs/>
        </w:rPr>
        <w:t>Piptochaetium fumbriatum.</w:t>
      </w:r>
      <w:r>
        <w:t xml:space="preserve"> </w:t>
      </w:r>
      <w:r w:rsidRPr="006D29E9">
        <w:rPr>
          <w:b/>
          <w:bCs/>
        </w:rPr>
        <w:t>Bosque de Pino</w:t>
      </w:r>
      <w:r w:rsidRPr="006D29E9">
        <w:t xml:space="preserve">, se desarrolla por encima del matorral submontano, en la pendiente este de la sierra del Carmeny en Sierra Rica en Santa Elena, las especies dominantes son </w:t>
      </w:r>
      <w:r w:rsidRPr="006D29E9">
        <w:rPr>
          <w:i/>
          <w:iCs/>
        </w:rPr>
        <w:t>Quercus gravesii, Q. hypoleucoides, Q.</w:t>
      </w:r>
      <w:r w:rsidRPr="006D29E9">
        <w:t xml:space="preserve"> </w:t>
      </w:r>
      <w:r w:rsidRPr="006D29E9">
        <w:rPr>
          <w:i/>
          <w:iCs/>
        </w:rPr>
        <w:t>laceyi, Q. arizonica, Q. sinuata, Q. mohriana, Juniperus flaccida, J. pachyphloea, Pinus</w:t>
      </w:r>
      <w:r w:rsidRPr="006D29E9">
        <w:t xml:space="preserve"> </w:t>
      </w:r>
      <w:r w:rsidRPr="006D29E9">
        <w:rPr>
          <w:i/>
          <w:iCs/>
        </w:rPr>
        <w:t xml:space="preserve">cembroides, Arbutus jalapensis, Fraxinus cuspida. </w:t>
      </w:r>
      <w:r w:rsidRPr="006D29E9">
        <w:t>Asociaciones presentes</w:t>
      </w:r>
      <w:r w:rsidRPr="006D29E9">
        <w:rPr>
          <w:i/>
          <w:iCs/>
        </w:rPr>
        <w:t>, Salvia regla,</w:t>
      </w:r>
      <w:r w:rsidRPr="006D29E9">
        <w:t xml:space="preserve"> </w:t>
      </w:r>
      <w:r w:rsidRPr="006D29E9">
        <w:rPr>
          <w:i/>
          <w:iCs/>
        </w:rPr>
        <w:t>Garrya obata, Rhus trilobata, Vitis arizonica, Ptelea trifoliata, Bumelia lanuginosa, Cercocarpus</w:t>
      </w:r>
      <w:r w:rsidRPr="006D29E9">
        <w:t xml:space="preserve"> </w:t>
      </w:r>
      <w:r w:rsidRPr="006D29E9">
        <w:rPr>
          <w:i/>
          <w:iCs/>
        </w:rPr>
        <w:t xml:space="preserve">brevifolius. </w:t>
      </w:r>
      <w:r w:rsidRPr="006D29E9">
        <w:t xml:space="preserve">Las especies en los arroyos contempla </w:t>
      </w:r>
      <w:r w:rsidRPr="006D29E9">
        <w:rPr>
          <w:i/>
          <w:iCs/>
        </w:rPr>
        <w:t>a Cercis reniformes, Smilax bonanox, Rhus</w:t>
      </w:r>
      <w:r w:rsidRPr="006D29E9">
        <w:t xml:space="preserve"> </w:t>
      </w:r>
      <w:r w:rsidRPr="006D29E9">
        <w:rPr>
          <w:i/>
          <w:iCs/>
        </w:rPr>
        <w:t>virens y Ugnadia speciosa.</w:t>
      </w:r>
      <w:r>
        <w:t xml:space="preserve"> </w:t>
      </w:r>
      <w:r w:rsidRPr="006D29E9">
        <w:rPr>
          <w:b/>
          <w:bCs/>
        </w:rPr>
        <w:t>Bosque de encino</w:t>
      </w:r>
      <w:r w:rsidRPr="006D29E9">
        <w:t xml:space="preserve">, principalmente en laderas de las sierras altas del COBIO con especies características como </w:t>
      </w:r>
      <w:r w:rsidRPr="006D29E9">
        <w:rPr>
          <w:i/>
          <w:iCs/>
        </w:rPr>
        <w:t>Quercus intricada, Q. invaginata, Q. pringlei, Q. laceyi, Q</w:t>
      </w:r>
      <w:r w:rsidRPr="006D29E9">
        <w:t xml:space="preserve"> </w:t>
      </w:r>
      <w:r w:rsidRPr="006D29E9">
        <w:rPr>
          <w:i/>
          <w:iCs/>
        </w:rPr>
        <w:t xml:space="preserve">hypoxanta, </w:t>
      </w:r>
      <w:r w:rsidRPr="006D29E9">
        <w:t xml:space="preserve">asociadas </w:t>
      </w:r>
      <w:r w:rsidRPr="006D29E9">
        <w:rPr>
          <w:i/>
          <w:iCs/>
        </w:rPr>
        <w:t>a Garrya ovata, Rhus virens, Cercocarpus mojadensis,</w:t>
      </w:r>
      <w:r w:rsidRPr="006D29E9">
        <w:t xml:space="preserve"> </w:t>
      </w:r>
      <w:r w:rsidRPr="006D29E9">
        <w:rPr>
          <w:i/>
          <w:iCs/>
        </w:rPr>
        <w:t>Microrhamnus ericoides, Barberis trifoliolata, Kowania alicata, Arctostaphylos pungens,</w:t>
      </w:r>
      <w:r w:rsidRPr="006D29E9">
        <w:t xml:space="preserve"> </w:t>
      </w:r>
      <w:r w:rsidRPr="006D29E9">
        <w:rPr>
          <w:i/>
          <w:iCs/>
        </w:rPr>
        <w:t>Ceanotus greggii, Amelancheri venticulata, Arbutus jalapensis, Fraxinus greggii, Ceanotus</w:t>
      </w:r>
      <w:r w:rsidRPr="006D29E9">
        <w:t xml:space="preserve"> </w:t>
      </w:r>
      <w:r w:rsidRPr="006D29E9">
        <w:rPr>
          <w:i/>
          <w:iCs/>
        </w:rPr>
        <w:t xml:space="preserve">lanuginosus, Rhus trilobata, R, microphylla, Nolina erumpens, Dasylirion </w:t>
      </w:r>
      <w:r w:rsidRPr="006D29E9">
        <w:t>ssp.</w:t>
      </w:r>
      <w:r w:rsidRPr="006D29E9">
        <w:rPr>
          <w:i/>
          <w:iCs/>
        </w:rPr>
        <w:t>, Yucca</w:t>
      </w:r>
      <w:r w:rsidRPr="006D29E9">
        <w:t xml:space="preserve"> </w:t>
      </w:r>
      <w:r w:rsidRPr="006D29E9">
        <w:rPr>
          <w:i/>
          <w:iCs/>
        </w:rPr>
        <w:t>carnerosana.</w:t>
      </w:r>
      <w:r>
        <w:t xml:space="preserve"> </w:t>
      </w:r>
      <w:r w:rsidRPr="006D29E9">
        <w:rPr>
          <w:b/>
          <w:bCs/>
        </w:rPr>
        <w:t>Bosque de pino-encino</w:t>
      </w:r>
      <w:r w:rsidRPr="006D29E9">
        <w:t>, comunidad de bosque que ocupa la mayor parte de la superficie arbolada de las porciones superiores de los sistemas montañosos, dependiendo del género dominante se les denomina bosque de de pino-encino ó encino-pino, con una mezcla de especies de ambos bosques.</w:t>
      </w:r>
      <w:r>
        <w:t xml:space="preserve"> </w:t>
      </w:r>
      <w:r w:rsidRPr="006D29E9">
        <w:rPr>
          <w:b/>
          <w:bCs/>
        </w:rPr>
        <w:t xml:space="preserve">Chaparral,  </w:t>
      </w:r>
      <w:r w:rsidRPr="006D29E9">
        <w:t xml:space="preserve">lo caracteriza la presencia de especies en forma de arbusto como: </w:t>
      </w:r>
      <w:r w:rsidRPr="006D29E9">
        <w:rPr>
          <w:i/>
          <w:iCs/>
        </w:rPr>
        <w:t xml:space="preserve">Quercus fusiformis, Q. invaginata, Q. sinuata, Q. mohriana, Dyospiros texana, Bumelia lanuginosa, Sophora secundiflora, Bauhnia lunaroides, Rhus virens, Vauquelinia corymbosa y Leucaena glauca. </w:t>
      </w:r>
      <w:r w:rsidRPr="006D29E9">
        <w:t>Las</w:t>
      </w:r>
      <w:r w:rsidRPr="006D29E9">
        <w:rPr>
          <w:i/>
          <w:iCs/>
        </w:rPr>
        <w:t xml:space="preserve"> </w:t>
      </w:r>
      <w:r w:rsidRPr="006D29E9">
        <w:t xml:space="preserve">asociaciones más comunes de éstas especies ocurren con </w:t>
      </w:r>
      <w:r w:rsidRPr="006D29E9">
        <w:rPr>
          <w:i/>
          <w:iCs/>
        </w:rPr>
        <w:t xml:space="preserve">Colubrina macrocarpa, C. greggii, Rhus triloba, Eysenhardtia texana, Ptelea trofoliata y Amyris madrensis </w:t>
      </w:r>
      <w:r w:rsidRPr="006D29E9">
        <w:t>y en la bajadas a lo</w:t>
      </w:r>
      <w:r w:rsidRPr="006D29E9">
        <w:rPr>
          <w:i/>
          <w:iCs/>
        </w:rPr>
        <w:t xml:space="preserve"> </w:t>
      </w:r>
      <w:r w:rsidRPr="006D29E9">
        <w:t xml:space="preserve">largo de corrientes de agua, </w:t>
      </w:r>
      <w:r w:rsidRPr="006D29E9">
        <w:rPr>
          <w:i/>
          <w:iCs/>
        </w:rPr>
        <w:t>Juglans rupestres, Celtis reticulata, Acacia farnesiana y Ugnadia specios</w:t>
      </w:r>
      <w:r w:rsidRPr="006D29E9">
        <w:t>a.</w:t>
      </w:r>
      <w:r>
        <w:t xml:space="preserve"> </w:t>
      </w:r>
      <w:r w:rsidRPr="006D29E9">
        <w:rPr>
          <w:b/>
          <w:bCs/>
        </w:rPr>
        <w:t>Matorral desértico micrófilo</w:t>
      </w:r>
      <w:r w:rsidRPr="006D29E9">
        <w:t xml:space="preserve">, Formado por especies de hojas pequeñas, se desarrolla en zonas áridas y semiáridas, puede estar asociado a especies con o sin espinas, pueden estar en su composición </w:t>
      </w:r>
      <w:r w:rsidRPr="006D29E9">
        <w:rPr>
          <w:i/>
          <w:iCs/>
        </w:rPr>
        <w:t xml:space="preserve">Opuntia, Yucca </w:t>
      </w:r>
      <w:r w:rsidRPr="006D29E9">
        <w:t>o gramíneas. Entre las especies más características están a la Gobernadora (</w:t>
      </w:r>
      <w:r w:rsidRPr="006D29E9">
        <w:rPr>
          <w:i/>
          <w:iCs/>
        </w:rPr>
        <w:t>Larrea tridentata</w:t>
      </w:r>
      <w:r w:rsidRPr="006D29E9">
        <w:t xml:space="preserve">). Entre las especies asociadas, </w:t>
      </w:r>
      <w:r w:rsidRPr="006D29E9">
        <w:rPr>
          <w:i/>
          <w:iCs/>
        </w:rPr>
        <w:t>Flourensia cernua, Acacia</w:t>
      </w:r>
      <w:r w:rsidRPr="006D29E9">
        <w:t xml:space="preserve"> </w:t>
      </w:r>
      <w:r w:rsidRPr="006D29E9">
        <w:rPr>
          <w:i/>
          <w:iCs/>
        </w:rPr>
        <w:t>perniciosa, Fouqueria splendens, Prosopis velutina, Condalia lycioides, Koeberlinia spinosa,</w:t>
      </w:r>
      <w:r w:rsidRPr="006D29E9">
        <w:t xml:space="preserve"> </w:t>
      </w:r>
      <w:r w:rsidRPr="006D29E9">
        <w:rPr>
          <w:i/>
          <w:iCs/>
        </w:rPr>
        <w:t xml:space="preserve">Condalia </w:t>
      </w:r>
      <w:r w:rsidRPr="006D29E9">
        <w:t>sp.</w:t>
      </w:r>
      <w:r w:rsidRPr="006D29E9">
        <w:rPr>
          <w:i/>
          <w:iCs/>
        </w:rPr>
        <w:t>, Parthenium incanum, Lycium berlandieri, Celtis pallida, Condalia spathulata,</w:t>
      </w:r>
      <w:r w:rsidRPr="006D29E9">
        <w:t xml:space="preserve"> </w:t>
      </w:r>
      <w:r w:rsidRPr="006D29E9">
        <w:rPr>
          <w:i/>
          <w:iCs/>
        </w:rPr>
        <w:t xml:space="preserve">Opuntia imbricata, Opuntia leptocaulis, Opuntia </w:t>
      </w:r>
      <w:r w:rsidRPr="006D29E9">
        <w:t>spp.</w:t>
      </w:r>
      <w:r w:rsidRPr="006D29E9">
        <w:rPr>
          <w:i/>
          <w:iCs/>
        </w:rPr>
        <w:t>, Yucca australis, Yucca torreyi, Acacia</w:t>
      </w:r>
      <w:r w:rsidRPr="006D29E9">
        <w:t xml:space="preserve"> </w:t>
      </w:r>
      <w:r w:rsidRPr="006D29E9">
        <w:rPr>
          <w:i/>
          <w:iCs/>
        </w:rPr>
        <w:t>constricta, Rhus microphylla, Citharexylum brachyanthum, Microrhamnus ericoides, Sericoides</w:t>
      </w:r>
      <w:r>
        <w:t xml:space="preserve"> </w:t>
      </w:r>
      <w:r w:rsidRPr="006D29E9">
        <w:rPr>
          <w:i/>
          <w:iCs/>
        </w:rPr>
        <w:t>greggii, Hilaria mutica.</w:t>
      </w:r>
      <w:r>
        <w:rPr>
          <w:i/>
          <w:iCs/>
        </w:rPr>
        <w:t xml:space="preserve"> </w:t>
      </w:r>
      <w:r w:rsidRPr="006D29E9">
        <w:rPr>
          <w:b/>
          <w:bCs/>
        </w:rPr>
        <w:t>Matorral desértico rosetófilo</w:t>
      </w:r>
      <w:r w:rsidRPr="006D29E9">
        <w:t xml:space="preserve">, dominado por especies con hojas en forma de roseta con o sin espinas, sin tallo aparente se le encuentra solamente sobre xerosoles de laderas de cerros de origen sedimentario y las partes altas de los abanicos aluviales. Los lomeríos pedregosos del norte de Coahuila, presentan plantas suculentas, como </w:t>
      </w:r>
      <w:r w:rsidRPr="006D29E9">
        <w:rPr>
          <w:i/>
          <w:iCs/>
        </w:rPr>
        <w:t>Euphorbia antisiphylitica, Jatropha</w:t>
      </w:r>
      <w:r w:rsidRPr="006D29E9">
        <w:t xml:space="preserve"> </w:t>
      </w:r>
      <w:r w:rsidRPr="006D29E9">
        <w:rPr>
          <w:i/>
          <w:iCs/>
        </w:rPr>
        <w:t xml:space="preserve">dioica, Agave lechuguilla, Hechtia </w:t>
      </w:r>
      <w:r w:rsidRPr="006D29E9">
        <w:t>spp.</w:t>
      </w:r>
      <w:r w:rsidRPr="006D29E9">
        <w:rPr>
          <w:i/>
          <w:iCs/>
        </w:rPr>
        <w:t xml:space="preserve">, Opuntia </w:t>
      </w:r>
      <w:r w:rsidRPr="006D29E9">
        <w:t>spp</w:t>
      </w:r>
      <w:r w:rsidRPr="006D29E9">
        <w:rPr>
          <w:i/>
          <w:iCs/>
        </w:rPr>
        <w:t xml:space="preserve">., Echinocactus </w:t>
      </w:r>
      <w:r w:rsidRPr="006D29E9">
        <w:t>spp</w:t>
      </w:r>
      <w:r w:rsidRPr="006D29E9">
        <w:rPr>
          <w:i/>
          <w:iCs/>
        </w:rPr>
        <w:t xml:space="preserve">., Echinocereus </w:t>
      </w:r>
      <w:r w:rsidRPr="006D29E9">
        <w:t>spp</w:t>
      </w:r>
      <w:r w:rsidRPr="006D29E9">
        <w:rPr>
          <w:i/>
          <w:iCs/>
        </w:rPr>
        <w:t>. Y</w:t>
      </w:r>
      <w:r w:rsidRPr="006D29E9">
        <w:t xml:space="preserve"> </w:t>
      </w:r>
      <w:r w:rsidRPr="006D29E9">
        <w:rPr>
          <w:i/>
          <w:iCs/>
        </w:rPr>
        <w:t xml:space="preserve">Mammillaria </w:t>
      </w:r>
      <w:r w:rsidRPr="006D29E9">
        <w:t>spp</w:t>
      </w:r>
      <w:r w:rsidRPr="006D29E9">
        <w:rPr>
          <w:i/>
          <w:iCs/>
        </w:rPr>
        <w:t>.</w:t>
      </w:r>
      <w:r>
        <w:t xml:space="preserve"> </w:t>
      </w:r>
      <w:r w:rsidRPr="006D29E9">
        <w:rPr>
          <w:b/>
          <w:bCs/>
        </w:rPr>
        <w:t>Pastizal natural</w:t>
      </w:r>
      <w:r w:rsidRPr="006D29E9">
        <w:t xml:space="preserve">,  integrado por especies de gramíneas, crece como vegetación secundaria en espacios abiertos sobre suelos relativamente profundos, en bajadas con pendientes ligeras o en mesetas de mediana elevación. Esta dominado por </w:t>
      </w:r>
      <w:r w:rsidRPr="006D29E9">
        <w:rPr>
          <w:i/>
          <w:iCs/>
        </w:rPr>
        <w:t>Bouteloua</w:t>
      </w:r>
      <w:r w:rsidRPr="006D29E9">
        <w:t xml:space="preserve"> </w:t>
      </w:r>
      <w:r w:rsidRPr="006D29E9">
        <w:rPr>
          <w:i/>
          <w:iCs/>
        </w:rPr>
        <w:t>gracilis, B. curtipendula, Bothriochloa saccharoides, Lycurus phleoides, Achnatherum</w:t>
      </w:r>
      <w:r>
        <w:t xml:space="preserve"> </w:t>
      </w:r>
      <w:r w:rsidRPr="006D29E9">
        <w:rPr>
          <w:i/>
          <w:iCs/>
        </w:rPr>
        <w:t xml:space="preserve">eminens, Aristida divaricata, Buchloe dactyloides y Muhlenbergia monticola. </w:t>
      </w:r>
      <w:r w:rsidRPr="006D29E9">
        <w:t xml:space="preserve">Estas especies se encuentran asociadas a las familias </w:t>
      </w:r>
      <w:r w:rsidRPr="006D29E9">
        <w:rPr>
          <w:i/>
          <w:iCs/>
        </w:rPr>
        <w:t>Asteraceae, Asclepiadaceae, Scrophulariaceae</w:t>
      </w:r>
      <w:r w:rsidRPr="006D29E9">
        <w:t xml:space="preserve">. En las prominencias rocosas de dicha área, se pueden ver junto con </w:t>
      </w:r>
      <w:r w:rsidRPr="006D29E9">
        <w:rPr>
          <w:i/>
          <w:iCs/>
        </w:rPr>
        <w:t xml:space="preserve">Quercus </w:t>
      </w:r>
      <w:r w:rsidRPr="006D29E9">
        <w:t>spp.</w:t>
      </w:r>
      <w:r w:rsidRPr="006D29E9">
        <w:rPr>
          <w:i/>
          <w:iCs/>
        </w:rPr>
        <w:t xml:space="preserve">, Juniperus </w:t>
      </w:r>
      <w:r w:rsidRPr="006D29E9">
        <w:t>spp.</w:t>
      </w:r>
      <w:r w:rsidRPr="006D29E9">
        <w:rPr>
          <w:i/>
          <w:iCs/>
        </w:rPr>
        <w:t>,</w:t>
      </w:r>
      <w:r w:rsidRPr="006D29E9">
        <w:t xml:space="preserve"> </w:t>
      </w:r>
      <w:r w:rsidRPr="006D29E9">
        <w:rPr>
          <w:i/>
          <w:iCs/>
        </w:rPr>
        <w:t xml:space="preserve">Dasylirion </w:t>
      </w:r>
      <w:r w:rsidRPr="006D29E9">
        <w:t>spp.</w:t>
      </w:r>
      <w:r w:rsidRPr="006D29E9">
        <w:rPr>
          <w:i/>
          <w:iCs/>
        </w:rPr>
        <w:t xml:space="preserve">, Nolina </w:t>
      </w:r>
      <w:r w:rsidRPr="006D29E9">
        <w:t>spp.</w:t>
      </w:r>
      <w:r w:rsidRPr="006D29E9">
        <w:rPr>
          <w:i/>
          <w:iCs/>
        </w:rPr>
        <w:t xml:space="preserve">, y Yucca </w:t>
      </w:r>
      <w:r>
        <w:t>spp</w:t>
      </w:r>
      <w:r w:rsidRPr="006D29E9">
        <w:t xml:space="preserve">. </w:t>
      </w:r>
      <w:r>
        <w:t xml:space="preserve"> </w:t>
      </w:r>
      <w:r w:rsidRPr="006D29E9">
        <w:rPr>
          <w:b/>
          <w:bCs/>
        </w:rPr>
        <w:t>Vegetación ribereña</w:t>
      </w:r>
      <w:r w:rsidRPr="006D29E9">
        <w:t>, se caracteriza por la presencia de un estrato arbóreo constituido por álamos y sauces esparcidos a lo largo de río Bravo. Esta asociación no constituye un tipo de vegetación definido, ya que suele mezclarse con elementos de los otros tipos de vegetación circundantes. Las especies detectadas en este hábitat son: álamo (</w:t>
      </w:r>
      <w:r w:rsidRPr="006D29E9">
        <w:rPr>
          <w:i/>
          <w:iCs/>
        </w:rPr>
        <w:t xml:space="preserve">Populus acuminata), </w:t>
      </w:r>
      <w:r w:rsidRPr="006D29E9">
        <w:t>sauce (</w:t>
      </w:r>
      <w:r w:rsidRPr="006D29E9">
        <w:rPr>
          <w:i/>
          <w:iCs/>
        </w:rPr>
        <w:t xml:space="preserve">Salix nigra), </w:t>
      </w:r>
      <w:r w:rsidRPr="006D29E9">
        <w:t>sauce (</w:t>
      </w:r>
      <w:r w:rsidRPr="006D29E9">
        <w:rPr>
          <w:i/>
          <w:iCs/>
        </w:rPr>
        <w:t>S.</w:t>
      </w:r>
      <w:r w:rsidRPr="006D29E9">
        <w:t xml:space="preserve"> </w:t>
      </w:r>
      <w:r w:rsidRPr="006D29E9">
        <w:rPr>
          <w:i/>
          <w:iCs/>
        </w:rPr>
        <w:t xml:space="preserve">interior), </w:t>
      </w:r>
      <w:r w:rsidRPr="006D29E9">
        <w:t>sauce taray (</w:t>
      </w:r>
      <w:r w:rsidRPr="006D29E9">
        <w:rPr>
          <w:i/>
          <w:iCs/>
        </w:rPr>
        <w:t xml:space="preserve">S. taxifolia), arbusto (Cephalanthus occidentalis), </w:t>
      </w:r>
      <w:r w:rsidRPr="006D29E9">
        <w:t>tamarix (</w:t>
      </w:r>
      <w:r w:rsidRPr="006D29E9">
        <w:rPr>
          <w:i/>
          <w:iCs/>
        </w:rPr>
        <w:t>Tamarix gallica)</w:t>
      </w:r>
      <w:r w:rsidRPr="006D29E9">
        <w:t xml:space="preserve"> (invasora), tamarix (</w:t>
      </w:r>
      <w:r w:rsidRPr="006D29E9">
        <w:rPr>
          <w:i/>
          <w:iCs/>
        </w:rPr>
        <w:t xml:space="preserve">T. chinensis) </w:t>
      </w:r>
      <w:r w:rsidRPr="006D29E9">
        <w:t>(invasora)</w:t>
      </w:r>
      <w:r w:rsidRPr="006D29E9">
        <w:rPr>
          <w:i/>
          <w:iCs/>
        </w:rPr>
        <w:t xml:space="preserve">, </w:t>
      </w:r>
      <w:r w:rsidRPr="006D29E9">
        <w:t>tamarix (</w:t>
      </w:r>
      <w:r w:rsidRPr="006D29E9">
        <w:rPr>
          <w:i/>
          <w:iCs/>
        </w:rPr>
        <w:t>Tamarix ramossisima</w:t>
      </w:r>
      <w:r w:rsidRPr="006D29E9">
        <w:t>) (invasora)</w:t>
      </w:r>
      <w:r w:rsidRPr="006D29E9">
        <w:rPr>
          <w:i/>
          <w:iCs/>
        </w:rPr>
        <w:t xml:space="preserve">, </w:t>
      </w:r>
      <w:r w:rsidRPr="006D29E9">
        <w:t>mezquite</w:t>
      </w:r>
      <w:r>
        <w:t xml:space="preserve"> </w:t>
      </w:r>
      <w:r w:rsidRPr="006D29E9">
        <w:t>(</w:t>
      </w:r>
      <w:r w:rsidRPr="006D29E9">
        <w:rPr>
          <w:i/>
          <w:iCs/>
        </w:rPr>
        <w:t xml:space="preserve">Prosopis glandulosa), </w:t>
      </w:r>
      <w:r w:rsidRPr="006D29E9">
        <w:t>huizache (</w:t>
      </w:r>
      <w:r w:rsidRPr="006D29E9">
        <w:rPr>
          <w:i/>
          <w:iCs/>
        </w:rPr>
        <w:t xml:space="preserve">Acacia farnesiana), </w:t>
      </w:r>
      <w:r w:rsidRPr="006D29E9">
        <w:t>acebuche (</w:t>
      </w:r>
      <w:r w:rsidRPr="006D29E9">
        <w:rPr>
          <w:i/>
          <w:iCs/>
        </w:rPr>
        <w:t xml:space="preserve">Celtis reticulata), </w:t>
      </w:r>
      <w:r w:rsidRPr="006D29E9">
        <w:t>carrizo (</w:t>
      </w:r>
      <w:r w:rsidRPr="006D29E9">
        <w:rPr>
          <w:i/>
          <w:iCs/>
        </w:rPr>
        <w:t xml:space="preserve">Arundo donax) </w:t>
      </w:r>
      <w:r w:rsidRPr="006D29E9">
        <w:t>(exótica), carrizo (</w:t>
      </w:r>
      <w:r w:rsidRPr="006D29E9">
        <w:rPr>
          <w:i/>
          <w:iCs/>
        </w:rPr>
        <w:t xml:space="preserve">Phragmites australis) </w:t>
      </w:r>
      <w:r w:rsidRPr="006D29E9">
        <w:t>(nativa in</w:t>
      </w:r>
      <w:r>
        <w:t>vasora de hábitats alterados).</w:t>
      </w:r>
    </w:p>
    <w:p w:rsidR="00A03512" w:rsidRPr="006D29E9" w:rsidRDefault="00A03512" w:rsidP="006D29E9">
      <w:pPr>
        <w:autoSpaceDE w:val="0"/>
        <w:autoSpaceDN w:val="0"/>
        <w:adjustRightInd w:val="0"/>
        <w:spacing w:line="360" w:lineRule="auto"/>
      </w:pPr>
    </w:p>
    <w:p w:rsidR="00A03512" w:rsidRPr="006D29E9" w:rsidRDefault="00A03512" w:rsidP="006D29E9">
      <w:pPr>
        <w:autoSpaceDE w:val="0"/>
        <w:autoSpaceDN w:val="0"/>
        <w:adjustRightInd w:val="0"/>
        <w:spacing w:line="360" w:lineRule="auto"/>
      </w:pPr>
      <w:r w:rsidRPr="006D29E9">
        <w:t>La región del COBIO se localiza en la confluencia de las regiones Neártica y Neotropical, lo que le confiere una mezcla muy diversa de especies de fauna silvestre. Algunas de las especies de fauna que son relicto reportadas incluye a él puercoespín norteño (</w:t>
      </w:r>
      <w:r w:rsidRPr="006D29E9">
        <w:rPr>
          <w:i/>
          <w:iCs/>
        </w:rPr>
        <w:t>Erethizon dorsatum couesi</w:t>
      </w:r>
      <w:r w:rsidRPr="006D29E9">
        <w:t>), la musaraña del Carmen (</w:t>
      </w:r>
      <w:r w:rsidRPr="006D29E9">
        <w:rPr>
          <w:i/>
          <w:iCs/>
        </w:rPr>
        <w:t>Sorex milleri</w:t>
      </w:r>
      <w:r w:rsidRPr="006D29E9">
        <w:t>), la ardilla de las rocas (</w:t>
      </w:r>
      <w:r w:rsidRPr="006D29E9">
        <w:rPr>
          <w:i/>
          <w:iCs/>
        </w:rPr>
        <w:t>Ammospermophyllus interpres</w:t>
      </w:r>
      <w:r w:rsidRPr="006D29E9">
        <w:t>), así como una culebra de agua (</w:t>
      </w:r>
      <w:r w:rsidRPr="006D29E9">
        <w:rPr>
          <w:i/>
          <w:iCs/>
        </w:rPr>
        <w:t>Natrix erythrogaster transversa</w:t>
      </w:r>
      <w:r w:rsidRPr="006D29E9">
        <w:t>)</w:t>
      </w:r>
      <w:r w:rsidRPr="006D29E9">
        <w:rPr>
          <w:i/>
          <w:iCs/>
        </w:rPr>
        <w:t xml:space="preserve"> </w:t>
      </w:r>
      <w:r w:rsidRPr="006D29E9">
        <w:t>y una serpiente (</w:t>
      </w:r>
      <w:r w:rsidRPr="006D29E9">
        <w:rPr>
          <w:i/>
          <w:iCs/>
        </w:rPr>
        <w:t>Coluber constrictor stejnegerianus</w:t>
      </w:r>
      <w:r w:rsidRPr="006D29E9">
        <w:t>). Entre las especies notables que se encuentran en alguna categoría de riesgo en NOM-059-SEMARNAT-2001 se encuentran al oso negro (</w:t>
      </w:r>
      <w:r w:rsidRPr="006D29E9">
        <w:rPr>
          <w:i/>
          <w:iCs/>
        </w:rPr>
        <w:t>Ursus americanus eremicus</w:t>
      </w:r>
      <w:r w:rsidRPr="006D29E9">
        <w:t>), águila real (</w:t>
      </w:r>
      <w:r w:rsidRPr="006D29E9">
        <w:rPr>
          <w:i/>
          <w:iCs/>
        </w:rPr>
        <w:t>Aquila chrysaetos</w:t>
      </w:r>
      <w:r w:rsidRPr="006D29E9">
        <w:t>), halcón peregrino (</w:t>
      </w:r>
      <w:r w:rsidRPr="006D29E9">
        <w:rPr>
          <w:i/>
          <w:iCs/>
        </w:rPr>
        <w:t>Falco peregrinus</w:t>
      </w:r>
      <w:r w:rsidRPr="006D29E9">
        <w:t>), musaraña del Carmen, castor (</w:t>
      </w:r>
      <w:r w:rsidRPr="006D29E9">
        <w:rPr>
          <w:i/>
          <w:iCs/>
        </w:rPr>
        <w:t>Castor canadensis mexicanus</w:t>
      </w:r>
      <w:r>
        <w:t>), puercoespín</w:t>
      </w:r>
      <w:r w:rsidRPr="006D29E9">
        <w:t xml:space="preserve">, y el </w:t>
      </w:r>
      <w:r w:rsidRPr="00CC78BA">
        <w:t>jaguarundi (</w:t>
      </w:r>
      <w:r w:rsidRPr="00CC78BA">
        <w:rPr>
          <w:i/>
          <w:iCs/>
        </w:rPr>
        <w:t>Puma yagouaroundi</w:t>
      </w:r>
      <w:r w:rsidRPr="00CC78BA">
        <w:t>). La región</w:t>
      </w:r>
      <w:r w:rsidRPr="006D29E9">
        <w:t xml:space="preserve"> contiene una avifauna en buen estado de conservación y es considerada área de importancia para la conservación de las aves. La variedad de ecosistemas hace de este sitio un lugar importante para especies amenazadas</w:t>
      </w:r>
      <w:r>
        <w:t xml:space="preserve"> y en peligro de extinción</w:t>
      </w:r>
      <w:r w:rsidRPr="006D29E9">
        <w:t>, como el águila real</w:t>
      </w:r>
      <w:r>
        <w:t>, vireo gorra negra (</w:t>
      </w:r>
      <w:r w:rsidRPr="006D29E9">
        <w:rPr>
          <w:i/>
          <w:iCs/>
        </w:rPr>
        <w:t>Vireo atricapillus</w:t>
      </w:r>
      <w:r>
        <w:t xml:space="preserve">) </w:t>
      </w:r>
      <w:r w:rsidRPr="006D29E9">
        <w:t xml:space="preserve">y </w:t>
      </w:r>
      <w:r>
        <w:t xml:space="preserve">otras aves migratorias. </w:t>
      </w:r>
      <w:r w:rsidRPr="006D29E9">
        <w:t xml:space="preserve">Hasta 2003, se reportaban 245 especies </w:t>
      </w:r>
      <w:r>
        <w:t xml:space="preserve">de aves </w:t>
      </w:r>
      <w:r w:rsidRPr="006D29E9">
        <w:t>para el</w:t>
      </w:r>
      <w:r>
        <w:t xml:space="preserve"> </w:t>
      </w:r>
      <w:r w:rsidRPr="006D29E9">
        <w:t xml:space="preserve">área (Garza </w:t>
      </w:r>
      <w:r w:rsidRPr="006D29E9">
        <w:rPr>
          <w:i/>
          <w:iCs/>
        </w:rPr>
        <w:t>et al</w:t>
      </w:r>
      <w:r>
        <w:t xml:space="preserve">. </w:t>
      </w:r>
      <w:r w:rsidRPr="006D29E9">
        <w:t>2007). Otras especies de fauna silvestre representativas del área son venado bura (</w:t>
      </w:r>
      <w:r w:rsidRPr="006D29E9">
        <w:rPr>
          <w:i/>
          <w:iCs/>
        </w:rPr>
        <w:t>Odocoileus hemionus</w:t>
      </w:r>
      <w:r w:rsidRPr="006D29E9">
        <w:t>), venado cola blanca (</w:t>
      </w:r>
      <w:r w:rsidRPr="006D29E9">
        <w:rPr>
          <w:i/>
          <w:iCs/>
        </w:rPr>
        <w:t>Odocoileus virginianus carminis</w:t>
      </w:r>
      <w:r w:rsidRPr="006D29E9">
        <w:t>), puma (</w:t>
      </w:r>
      <w:r w:rsidRPr="006D29E9">
        <w:rPr>
          <w:i/>
          <w:iCs/>
        </w:rPr>
        <w:t>Puma</w:t>
      </w:r>
      <w:r w:rsidRPr="006D29E9">
        <w:t xml:space="preserve"> </w:t>
      </w:r>
      <w:r w:rsidRPr="006D29E9">
        <w:rPr>
          <w:i/>
          <w:iCs/>
        </w:rPr>
        <w:t>concolor</w:t>
      </w:r>
      <w:r w:rsidRPr="006D29E9">
        <w:t>) y el guajolote silvestre (</w:t>
      </w:r>
      <w:r w:rsidRPr="006D29E9">
        <w:rPr>
          <w:i/>
          <w:iCs/>
        </w:rPr>
        <w:t>Meleagris gallopavo</w:t>
      </w:r>
      <w:r w:rsidRPr="006D29E9">
        <w:t>), orioles (</w:t>
      </w:r>
      <w:r w:rsidRPr="006D29E9">
        <w:rPr>
          <w:i/>
          <w:iCs/>
        </w:rPr>
        <w:t xml:space="preserve">Icterus </w:t>
      </w:r>
      <w:r w:rsidRPr="006D29E9">
        <w:t>spp.), y jabalí (</w:t>
      </w:r>
      <w:r w:rsidRPr="006D29E9">
        <w:rPr>
          <w:i/>
          <w:iCs/>
        </w:rPr>
        <w:t>Pecari tajacu</w:t>
      </w:r>
      <w:r w:rsidRPr="006D29E9">
        <w:t>).</w:t>
      </w:r>
    </w:p>
    <w:p w:rsidR="00A03512" w:rsidRPr="006D29E9" w:rsidRDefault="00A03512" w:rsidP="006D29E9">
      <w:pPr>
        <w:autoSpaceDE w:val="0"/>
        <w:autoSpaceDN w:val="0"/>
        <w:adjustRightInd w:val="0"/>
        <w:spacing w:line="360" w:lineRule="auto"/>
      </w:pPr>
    </w:p>
    <w:p w:rsidR="00A03512" w:rsidRPr="006D29E9" w:rsidRDefault="00A03512" w:rsidP="006D29E9">
      <w:pPr>
        <w:spacing w:line="360" w:lineRule="auto"/>
      </w:pPr>
    </w:p>
    <w:p w:rsidR="00A03512" w:rsidRDefault="00A03512">
      <w:pPr>
        <w:spacing w:after="200" w:line="276" w:lineRule="auto"/>
      </w:pPr>
      <w:r>
        <w:br w:type="page"/>
      </w:r>
    </w:p>
    <w:p w:rsidR="00A03512" w:rsidRDefault="00A03512" w:rsidP="003B71D4">
      <w:pPr>
        <w:spacing w:line="360" w:lineRule="auto"/>
      </w:pPr>
      <w:r>
        <w:pict>
          <v:rect id="_x0000_i1027" style="width:468pt;height:6pt" o:hralign="center" o:hrstd="t" o:hrnoshade="t" o:hr="t" fillcolor="#17365d" stroked="f"/>
        </w:pict>
      </w:r>
    </w:p>
    <w:p w:rsidR="00A03512" w:rsidRPr="009655BA" w:rsidRDefault="00A03512" w:rsidP="003B71D4">
      <w:pPr>
        <w:pBdr>
          <w:bottom w:val="single" w:sz="4" w:space="1" w:color="auto"/>
        </w:pBdr>
        <w:spacing w:line="360" w:lineRule="auto"/>
        <w:rPr>
          <w:b/>
          <w:bCs/>
          <w:sz w:val="32"/>
          <w:szCs w:val="32"/>
        </w:rPr>
      </w:pPr>
      <w:r>
        <w:rPr>
          <w:b/>
          <w:bCs/>
          <w:sz w:val="32"/>
          <w:szCs w:val="32"/>
        </w:rPr>
        <w:t>Modelos Conceptuales</w:t>
      </w:r>
    </w:p>
    <w:p w:rsidR="00A03512" w:rsidRDefault="00A03512" w:rsidP="003B71D4">
      <w:pPr>
        <w:spacing w:line="360" w:lineRule="auto"/>
        <w:rPr>
          <w:b/>
          <w:bCs/>
        </w:rPr>
      </w:pPr>
    </w:p>
    <w:p w:rsidR="00A03512" w:rsidRDefault="00A03512" w:rsidP="003B71D4">
      <w:pPr>
        <w:spacing w:line="360" w:lineRule="auto"/>
      </w:pPr>
      <w:r>
        <w:tab/>
      </w:r>
    </w:p>
    <w:p w:rsidR="00A03512" w:rsidRDefault="00A03512" w:rsidP="003B71D4">
      <w:pPr>
        <w:spacing w:line="360" w:lineRule="auto"/>
      </w:pPr>
      <w:r>
        <w:t>Es difícil, si no imposible, llevar a cabo acciones de manejo para la conservación de los ecosistemas naturales sin contar con modelos conceptuales que organicen nuestro entendimiento sobre su estructura y de sus procesos ecosistémicos. Los ecosistemas naturales integran a una gran variedad de componentes que los hacen complejos, por lo que sus respuestas a alteraciones muchas veces son poco comprendidas. La intención del uso de un modelo conceptual de ecosistema con fines de monitoreo no es para describir lo complejo del sistema, sino para identificar y medir un número limitado de elementos que componen al sistema para proveer de información sobre aspectos importantes de la condición del mismo. En este sentido, el concepto del monitoreo de Signos Vitales utiliza el marco conceptual para los ecosistemas manejados propuesto por Chapin et al. (1996) y mejor conocido como el modelo Jenny-Chapin de los principios que rigen la sostenibilidad de los ecosistemas.</w:t>
      </w:r>
    </w:p>
    <w:p w:rsidR="00A03512" w:rsidRDefault="00A03512" w:rsidP="003B71D4">
      <w:pPr>
        <w:spacing w:line="360" w:lineRule="auto"/>
      </w:pPr>
      <w:r>
        <w:t xml:space="preserve">  </w:t>
      </w:r>
    </w:p>
    <w:p w:rsidR="00A03512" w:rsidRPr="00D348D2" w:rsidRDefault="00A03512" w:rsidP="003B71D4">
      <w:pPr>
        <w:spacing w:line="360" w:lineRule="auto"/>
        <w:rPr>
          <w:b/>
          <w:bCs/>
        </w:rPr>
      </w:pPr>
      <w:r w:rsidRPr="00D348D2">
        <w:rPr>
          <w:b/>
          <w:bCs/>
        </w:rPr>
        <w:t>Descripción del modelo Jenny-Chapin</w:t>
      </w:r>
    </w:p>
    <w:p w:rsidR="00A03512" w:rsidRDefault="00A03512" w:rsidP="003B71D4">
      <w:pPr>
        <w:spacing w:line="360" w:lineRule="auto"/>
      </w:pPr>
    </w:p>
    <w:p w:rsidR="00A03512" w:rsidRDefault="00A03512" w:rsidP="003B71D4">
      <w:pPr>
        <w:spacing w:line="360" w:lineRule="auto"/>
      </w:pPr>
      <w:r>
        <w:t xml:space="preserve">Este modelo define a un ecosistema sostenible como aquel que </w:t>
      </w:r>
      <w:r w:rsidRPr="00B87AEB">
        <w:t>a través de ciclos normales de eventos de disturbio mantiene su diversidad característica, productividad, fertilidad del suelo, y tazas de ciclos bioquímicos</w:t>
      </w:r>
      <w:r>
        <w:t xml:space="preserve">. Esta definición incluye a todas las etapas de la sucesión, desde el disturbio, la colonización y todo su desarrollo seral. En este modelo se consideran escalas de espacio que son relevantes para el manejo directo por el hombre (ejemplo: cuencas hidrográficas). La composición actual de especies, la estructura, y los patrones de desarrollo seral de cada ecosistema son composiciones que no se sostienen indefinidamente. La mayoría de los ecosistemas se sostienen solamente por algunas decenas de miles de años, ya que factores como el clima, desarrollo del suelo, y la composición de especies, cambian significativamente en estos periodos de tiempo. Sin embargo, el concepto de sostenibilidad es relevante sobre escalas de tiempo de muchas generaciones de la especie dominante en el ecosistema, es decir de décadas a siglos, escalas de tiempo que son también relevantes para las interacciones del hombre con los ecosistemas. </w:t>
      </w:r>
    </w:p>
    <w:p w:rsidR="00A03512" w:rsidRDefault="00A03512" w:rsidP="003B71D4">
      <w:pPr>
        <w:spacing w:line="360" w:lineRule="auto"/>
      </w:pPr>
    </w:p>
    <w:p w:rsidR="00A03512" w:rsidRDefault="00A03512" w:rsidP="003B71D4">
      <w:pPr>
        <w:spacing w:line="360" w:lineRule="auto"/>
      </w:pPr>
      <w:r>
        <w:t>Los ecosistemas no son estáticos y la composición de plantas y animales, la productividad, y los ciclos de nutrientes, cambian todos en respuesta tanto a eventos aleatorios como al desarrollo seral. Sin embargo los ecosistemas sostenibles mantienen su estructura y funciones dentro de ciertos límites de estabilidad. Por ejemplo, el gran crecimiento poblacional de los topos escandinavos que se da cada 3 a 4 años causa cambios en la densidad de depredadores, productividad vegetal, y ciclos de nutrientes, pero no causan cambios a largo plazo de estas características ya que la disminución de la productividad vegetal y el incremento de los depredadores actúan ambos como una retroalimentación negativa sobre la población de los topos. De la misma manera, en muchos ecosistemas se dan cambios serales predecibles después de eventos de incendios naturales que alteran las características de la vegetación, sin embargo a la escala de paisaje no cambia el ecosistema ya que las áreas quemadas se balancean con otras áreas donde se sigue dando el desarrollo seral.</w:t>
      </w:r>
    </w:p>
    <w:p w:rsidR="00A03512" w:rsidRDefault="00A03512" w:rsidP="003B71D4">
      <w:pPr>
        <w:spacing w:line="360" w:lineRule="auto"/>
      </w:pPr>
    </w:p>
    <w:p w:rsidR="00A03512" w:rsidRDefault="00A03512" w:rsidP="003B71D4">
      <w:pPr>
        <w:spacing w:line="360" w:lineRule="auto"/>
      </w:pPr>
      <w:r>
        <w:t>Las propiedades de los ecosistemas están gobernadas tanto por factores internos como externos. Jenny (1941) propuso que las características de un ecosistema como vegetación dominante y los ciclos de nutrientes, están determinados por las interacciones entre la biota potencial, clima, material parental, topografía, y el historial de disturbios de un lugar. El modelo de Jenny-Chapin considera a estos factores externos como factores determinantes de los procesos ecosistémicos y los considera como independientes de las actividades humanas por su gran escala espacio-temporal. Sin embargo, al mismo tiempo identifica a 4 elementos dinámicos que tienen la capacidad tanto de controlar como de responder a las características del ecosistema, por lo que interactúan de forma dinámica con los procesos ecosistémicos (Figura 1). A estos elementos se les denomina como controles interactivos y representan al clima regional, los recursos del suelo, los grupos funcionales, y el régimen de disturbio (Figura 1).</w:t>
      </w:r>
    </w:p>
    <w:p w:rsidR="00A03512" w:rsidRDefault="00A03512" w:rsidP="003B71D4">
      <w:pPr>
        <w:spacing w:line="360" w:lineRule="auto"/>
      </w:pPr>
      <w:r w:rsidRPr="00412A10">
        <w:rPr>
          <w:noProof/>
          <w:lang w:val="en-US"/>
        </w:rPr>
        <w:pict>
          <v:shape id="Object 3" o:spid="_x0000_i1028" type="#_x0000_t75" style="width:468pt;height:280.5pt;visibility:visible">
            <v:imagedata r:id="rId16" o:title="" croptop="-1477f" cropbottom="-1108f" cropleft="-1130f" cropright="-2475f"/>
            <o:lock v:ext="edit" aspectratio="f"/>
          </v:shape>
        </w:pict>
      </w:r>
    </w:p>
    <w:p w:rsidR="00A03512" w:rsidRDefault="00A03512" w:rsidP="00A96E36">
      <w:pPr>
        <w:spacing w:line="360" w:lineRule="auto"/>
      </w:pPr>
      <w:r>
        <w:t>Figura 1. Relación entre los factores determinantes, los controles interactivos, y los procesos ecosistémicos de acuerdo al modelo Jenny-Chapin. Adaptado de Chapin et al. (1996).</w:t>
      </w:r>
    </w:p>
    <w:p w:rsidR="00A03512" w:rsidRDefault="00A03512" w:rsidP="003B71D4">
      <w:pPr>
        <w:spacing w:line="360" w:lineRule="auto"/>
      </w:pPr>
    </w:p>
    <w:p w:rsidR="00A03512" w:rsidRDefault="00A03512" w:rsidP="003B71D4">
      <w:pPr>
        <w:spacing w:line="360" w:lineRule="auto"/>
      </w:pPr>
    </w:p>
    <w:p w:rsidR="00A03512" w:rsidRDefault="00A03512" w:rsidP="003B71D4">
      <w:pPr>
        <w:spacing w:line="360" w:lineRule="auto"/>
      </w:pPr>
      <w:r>
        <w:t>Clima Regional</w:t>
      </w:r>
    </w:p>
    <w:p w:rsidR="00A03512" w:rsidRDefault="00A03512" w:rsidP="003B71D4">
      <w:pPr>
        <w:spacing w:line="360" w:lineRule="auto"/>
      </w:pPr>
      <w:r>
        <w:t>En escalas geográficas amplias, el clima es el control interactivo más importante en determinar la estructura, productividad y bioquímica de los ecosistemas. Por ejemplo, los cambios climáticos a través de los ciclos de glaciaciones causan cambios masivos en los ecosistemas. A su vez, la productividad y estructura vertical de la vegetación gobiernan factores micro-climáticos como la disponibilidad de agua y temperatura entre el suelo y el dosel, lo que influencia al clima regional a través del intercambio de energía y agua con la atmosfera. Existe un continuo entre el clima global que es determinado principalmente por el gradiente latitudinal de la radiación solar, interacciones entre masas de tierra y agua, y la topografía (clima como factor determinante); con aquellos atributos climáticos que pueden ser influenciados por el ecosistema (clima regional como control interactivo). Los ecosistemas y el clima interactúan mutuamente, por ejemplo cuando el sobrepastoreo a gran escala en tierras áridas o la deforestación pueden alterar el albedo y la absorción de energía de una región lo suficiente para cambiar el clima regional y crear una nueva relación estable entre un clima nuevo y un nuevo tipo de vegetación. Estos cambios potenciales en el clima, que son iniciados por alteraciones en la vegetación, pueden ocurrir más rápidamente (décadas o siglos), que los cambios asociados a los ciclos inter-glaciales, afectando así la sostenibilidad de los ecosistemas.</w:t>
      </w:r>
    </w:p>
    <w:p w:rsidR="00A03512" w:rsidRDefault="00A03512" w:rsidP="003B71D4">
      <w:pPr>
        <w:spacing w:line="360" w:lineRule="auto"/>
      </w:pPr>
    </w:p>
    <w:p w:rsidR="00A03512" w:rsidRDefault="00A03512" w:rsidP="003B71D4">
      <w:pPr>
        <w:spacing w:line="360" w:lineRule="auto"/>
      </w:pPr>
      <w:r>
        <w:t>Recursos del Suelo</w:t>
      </w:r>
    </w:p>
    <w:p w:rsidR="00A03512" w:rsidRDefault="00A03512" w:rsidP="003B71D4">
      <w:pPr>
        <w:spacing w:line="360" w:lineRule="auto"/>
      </w:pPr>
      <w:r>
        <w:t>La disponibilidad de los recursos del suelo (o la calidad y cantidad de agua en ecosistemas acuáticos) determinan la productividad maxima y la diversidad estructural de la vegetación. Las tazas de ciclos bio-geoquímicos y la pérdida de agua de la vegetación  están correlacionadas con la productividad porque la absorción de estos elementos del suelo mantiene la productividad, mientras que la pérdida de agua por transpiración es una consecuencia inevitable de la generación de carbono que conlleva la producción. Por lo tanto, la productividad, los ciclos de nutrientes, y la pérdida de agua están inter-relacionadas y son resultado de la disponibilidad de los recursos del suelo. El clima influencia fuertemente la humedad del suelo a través del balance entre la precipitación y la evaporación, y determina patrones latitudinales en la disponibilidad de nutrientes a través del efecto de la taza de intemperismo, tazas de ciclos de nutrientes, y perdida de nutrientes del suelo. Sin embargo, en un régimen climático dado, la disponibilidad de recursos del suelo (agua y nutrientes) está gobernada por el material parental, topografía, y la actividad de organismos fijadores del nitrógeno. Posiblemente el cambio en los recursos del suelo es el mecanismo más común por el cual las actividades humanas alteran la sostenibilidad de los ecosistemas. Por ejemplo, la erosión producto del sobrepastoreo, agricultura, y forestería, reduce la disponibilidad de nutrientes y por lo tanto de la productividad y la tasa de los ciclos de nutrientes. Otras actividades como la aplicación de fertilizantes pueden aumentar la productividad de un sistema pero al mismo tiempo cambia permanentemente la composición de especies en comunidades terrestres y acuáticas.</w:t>
      </w:r>
    </w:p>
    <w:p w:rsidR="00A03512" w:rsidRDefault="00A03512" w:rsidP="003B71D4">
      <w:pPr>
        <w:spacing w:line="360" w:lineRule="auto"/>
      </w:pPr>
    </w:p>
    <w:p w:rsidR="00A03512" w:rsidRDefault="00A03512" w:rsidP="003B71D4">
      <w:pPr>
        <w:spacing w:line="360" w:lineRule="auto"/>
      </w:pPr>
      <w:r>
        <w:t>Régimen de Disturbio</w:t>
      </w:r>
    </w:p>
    <w:p w:rsidR="00A03512" w:rsidRDefault="00A03512" w:rsidP="003B71D4">
      <w:pPr>
        <w:spacing w:line="360" w:lineRule="auto"/>
      </w:pPr>
      <w:r>
        <w:t>Los disturbios en una escala de paisaje provocados por ejemplo por fuego, viento, plagas, huracanes, etc. son críticos para la sostenibilidad de la estructura natural y las tasas de procesos en los ecosistemas. Por ejemplo, el fuego es crítico para el mantenimiento a largo plazo de ecosistemas propensos al fuego (como el chaparral, pastizal, sabana) y para mantener patrones de distribución de hábitats en el paisaje. Los regímenes de disturbio interactúan directamente con el clima y los recursos del suelo, por ejemplo cuando el clima, incluyendo la humedad atmosférica, viento, humedad del suelo, y los rayos afectan directamente al inicio y dispersión del fuego. El clima y los recursos del suelo también influencian la biomasa vegetal, su estructura, y humedad por lo que determinan las características de los combustibles y la vulnerabilidad de los arboles de ser derribados por el viento. Cambios ya sean en la intensidad o frecuencia de los disturbios pueden provocar cambios a largo plazo en los ecosistemas. Por ejemplo, las plantas arbustivas invaden los pastizales cuando la supresión del fuego reduce la frecuencia de los incendios. La construcción de presas en ríos de California impide los flujos de agua y previene las inundaciones invernales, lo que permite a su vez que invertebrados que son resistentes a los depredadores (porque son sésiles o tienen armaduras) puedan sobrevivir al invierno y esto impide la producción de algas acuáticas que de otra manera sostienen la red alimenticia para la trucha y el salmón.</w:t>
      </w:r>
    </w:p>
    <w:p w:rsidR="00A03512" w:rsidRDefault="00A03512" w:rsidP="003B71D4">
      <w:pPr>
        <w:spacing w:line="360" w:lineRule="auto"/>
      </w:pPr>
    </w:p>
    <w:p w:rsidR="00A03512" w:rsidRDefault="00A03512" w:rsidP="00697C8B">
      <w:pPr>
        <w:spacing w:line="360" w:lineRule="auto"/>
      </w:pPr>
      <w:r>
        <w:t>Grupos Funcionales de Organismos</w:t>
      </w:r>
    </w:p>
    <w:p w:rsidR="00A03512" w:rsidRDefault="00A03512" w:rsidP="00697C8B">
      <w:pPr>
        <w:spacing w:line="360" w:lineRule="auto"/>
      </w:pPr>
      <w:r>
        <w:t>Se define a los grupos funcionales de organismos por su efecto en procesos ecosistémicos que pueden tener tanta influencia en los ecosistemas como lo hacen el clima y el material parental como factores determinantes. En el bosque boreal por ejemplo, el aumento en la biomasa de los musgos ligado a la sucesión ecológica crea un ciclo de retroalimentación negativo con la productividad al reducir la tasa de mineralización del suelo y disponibilidad de nutrientes por la baja calidad de los musgos y su capacidad de aislar al suelo del calor solar en verano. El clima, los recursos del suelo y el régimen de disturbio tienen una gran influencia en los tipos de grupos funcionales que dominan un sistema. En general, los ambientes que son ricos en recursos son dominados por arboles, dado suficiente tiempo desde un disturbio, mientras que los ambientes con pocos recursos están dominados por una mezcla de grupos funcionales de menor talla (como arbustos, herbáceas y cactus en un desierto). Los hábitats que son extremadamente poco productivos pueden ser insuficientes para mantener mamíferos herbívoros, hábitats con productividad intermedia pueden ser severamente pastoreados, mientras que hábitats extremadamente productivos pueden ser tan productivos que los depredadores minimizan el impacto de los herbívoros en la vegetación.</w:t>
      </w:r>
    </w:p>
    <w:p w:rsidR="00A03512" w:rsidRDefault="00A03512" w:rsidP="00697C8B">
      <w:pPr>
        <w:spacing w:line="360" w:lineRule="auto"/>
      </w:pPr>
      <w:r>
        <w:t>El aumento o pérdida de grupos funcionales (por la introducción o extirpación de especies que tienen efectos importantes en los ecosistemas) puede cambiar permanentemente un ecosistema a través de cambios en la disponibilidad de recursos o régimen de disturbio. La invasión de pastos exóticos puede alterar la frecuencia de los incendios, disponibilidad de recursos, interacciones tróficas y la tasa de muchos procesos ecosistémicos. La eliminación de los depredadores a través de la cacería puede causar irrupciones en los venados que después sobrepastorean su fuente de alimento. Grandes cambio en el régimen de pastoreo pueden crear aumentos en albedo suficientes para alterar el clima regional, por lo que los grupos funcionales responden y afectan a los controles interactivos y procesos ecosistémicos.</w:t>
      </w:r>
    </w:p>
    <w:p w:rsidR="00A03512" w:rsidRDefault="00A03512" w:rsidP="003B71D4">
      <w:pPr>
        <w:spacing w:line="360" w:lineRule="auto"/>
      </w:pPr>
    </w:p>
    <w:p w:rsidR="00A03512" w:rsidRPr="00B87AEB" w:rsidRDefault="00A03512" w:rsidP="003B71D4">
      <w:pPr>
        <w:spacing w:line="360" w:lineRule="auto"/>
      </w:pPr>
      <w:r w:rsidRPr="00B87AEB">
        <w:t>Mantenimiento de los Ecosistemas Sostenibles</w:t>
      </w:r>
    </w:p>
    <w:p w:rsidR="00A03512" w:rsidRPr="00B87AEB" w:rsidRDefault="00A03512" w:rsidP="00B1296E">
      <w:pPr>
        <w:spacing w:line="360" w:lineRule="auto"/>
      </w:pPr>
      <w:r w:rsidRPr="001E263F">
        <w:t xml:space="preserve">Los ecosistemas naturales son redes complejas </w:t>
      </w:r>
      <w:r>
        <w:t xml:space="preserve">que se mantienen a través </w:t>
      </w:r>
      <w:r w:rsidRPr="001E263F">
        <w:t xml:space="preserve">de ciclos de retroalimentación positiva y negativa que operan sobre un amplio rango en </w:t>
      </w:r>
      <w:r>
        <w:t xml:space="preserve">el </w:t>
      </w:r>
      <w:r w:rsidRPr="001E263F">
        <w:t xml:space="preserve">tiempo y </w:t>
      </w:r>
      <w:r>
        <w:t xml:space="preserve">el espacio. </w:t>
      </w:r>
      <w:r w:rsidRPr="00B87AEB">
        <w:t>Los ciclos de retroalimentación negativos proveen resistencia a los cambios naturales o antropogénicos en los controles interactivos y mantienen el potencial para regeneración después de disturbios, por lo que son clave para mantener ecosistemas sostenibles</w:t>
      </w:r>
      <w:r>
        <w:t xml:space="preserve">. </w:t>
      </w:r>
      <w:r w:rsidRPr="00B87AEB">
        <w:t>Los controles interactivos pueden manejarse pero son limitados por los factores determinantes que están fuera del control del manejador</w:t>
      </w:r>
      <w:r>
        <w:t xml:space="preserve"> y son independientes. </w:t>
      </w:r>
      <w:r w:rsidRPr="00B87AEB">
        <w:t>La conectivi</w:t>
      </w:r>
      <w:r>
        <w:t>dad entre ecosistemas fomenta su</w:t>
      </w:r>
      <w:r w:rsidRPr="00B87AEB">
        <w:t xml:space="preserve"> sostenibilida</w:t>
      </w:r>
      <w:r>
        <w:t xml:space="preserve">d al </w:t>
      </w:r>
      <w:r w:rsidRPr="00B87AEB">
        <w:t>genera</w:t>
      </w:r>
      <w:r>
        <w:t>r</w:t>
      </w:r>
      <w:r w:rsidRPr="00B87AEB">
        <w:t xml:space="preserve"> ciclos de retroalimentación negativos entre ellos</w:t>
      </w:r>
      <w:r>
        <w:t>.</w:t>
      </w:r>
    </w:p>
    <w:p w:rsidR="00A03512" w:rsidRDefault="00A03512" w:rsidP="003B71D4">
      <w:pPr>
        <w:spacing w:line="360" w:lineRule="auto"/>
      </w:pPr>
    </w:p>
    <w:p w:rsidR="00A03512" w:rsidRPr="00B1296E" w:rsidRDefault="00A03512" w:rsidP="003B71D4">
      <w:pPr>
        <w:spacing w:line="360" w:lineRule="auto"/>
        <w:rPr>
          <w:b/>
          <w:bCs/>
        </w:rPr>
      </w:pPr>
      <w:r w:rsidRPr="00B1296E">
        <w:rPr>
          <w:b/>
          <w:bCs/>
        </w:rPr>
        <w:t>Modelos Conceptuales para Ecosistemas del COBIO</w:t>
      </w:r>
    </w:p>
    <w:p w:rsidR="00A03512" w:rsidRDefault="00A03512" w:rsidP="003B71D4">
      <w:pPr>
        <w:spacing w:line="360" w:lineRule="auto"/>
      </w:pPr>
      <w:r>
        <w:tab/>
      </w:r>
    </w:p>
    <w:p w:rsidR="00A03512" w:rsidRDefault="00A03512" w:rsidP="003B71D4">
      <w:pPr>
        <w:spacing w:line="360" w:lineRule="auto"/>
      </w:pPr>
      <w:r>
        <w:t>Ecosistema de Bosque</w:t>
      </w:r>
    </w:p>
    <w:p w:rsidR="00A03512" w:rsidRPr="00B87AEB" w:rsidRDefault="00A03512" w:rsidP="00223646">
      <w:pPr>
        <w:spacing w:line="360" w:lineRule="auto"/>
      </w:pPr>
      <w:r>
        <w:t xml:space="preserve">Este ecosistema se encuentra en las partes altas de la Sierras de Maderas del Carmen, El Jardín, y Sierra Rica, por arriba de los 2000 msnm, por lo que forman parte de lo que se ha denominado como islas del cielo. </w:t>
      </w:r>
      <w:r w:rsidRPr="00B87AEB">
        <w:rPr>
          <w:lang w:val="es-ES"/>
        </w:rPr>
        <w:t xml:space="preserve">Tiene topografía con alta pendiente </w:t>
      </w:r>
      <w:r>
        <w:rPr>
          <w:lang w:val="es-ES"/>
        </w:rPr>
        <w:t xml:space="preserve">pero también contiene </w:t>
      </w:r>
      <w:r w:rsidRPr="00B87AEB">
        <w:rPr>
          <w:lang w:val="es-ES"/>
        </w:rPr>
        <w:t>algunos valles pequeños con suelos</w:t>
      </w:r>
      <w:r>
        <w:rPr>
          <w:lang w:val="es-ES"/>
        </w:rPr>
        <w:t xml:space="preserve"> profundos. Las comunidades vegetales están conformadas por bosques de pino y oyamel, bosques de pino-encino, y bosque de encino. En este ecosistema se encuentran también manantiales perennes y efímeros, ojos de agua, y tinajas que son hábitat de grupos funcionales acuáticos. Las temperaturas en este ecosistema son más frías y la precipitación es mayor que en otros sistemas de menor elevación, por lo que también tiene una mayor productividad en relación a otros ecosistemas del COBIO. Este ecosistema captura humedad que contribuye sustancialmente al balance de agua en cuencas y ecosistemas de menor altitud, que aunado a la pendiente y tasa de mineralización facilita el transporte de materiales hacia los faldeos de la sierra e incluso al ecosistema de desierto en las partes más bajas. El fuego es un agente de disturbio importante en este ecosistema y la evidencia de otras islas del cielo señalan que los incendios naturales tendían a ser frecuentes y pequeños (con un intervalo de retorno de 24 años), lo que creaba bosques con clases de edades mixtas (Sakulich and Taylor 2007, Camp et al. 2006). Sin embargo la introducción del pastoreo por ganado domestico en 1800s altero este régimen por lo que ahora los incendios son típicamente menos frecuentes y más grandes en extensión. La diversidad de especies de árboles es una de las características más notables de este ecosistema, y aquí los arboles afectan la productividad y diversidad de las comunidades vegetales más que en otros ecosistemas del COBIO. La mayor productividad de estos bosques promueve el desarrollo de horizontes orgánicos del suelo, particularmente en áreas sin pendiente, lo que a su vez mejora la retención y disponibilidad de agua para las plantas. Por otro lado, la estructura vertical del bosque mantiene una mayor biomasa que los matorrales, y la heterogeneidad del dosel promueve la diversidad y productividad de plantas en el suelo del bosque. </w:t>
      </w:r>
      <w:r w:rsidRPr="00B87AEB">
        <w:rPr>
          <w:lang w:val="es-ES"/>
        </w:rPr>
        <w:t xml:space="preserve">La </w:t>
      </w:r>
      <w:r>
        <w:rPr>
          <w:lang w:val="es-ES"/>
        </w:rPr>
        <w:t>actividad forestal del pasado en la Sierra de Maderas del Carmen fue</w:t>
      </w:r>
      <w:r w:rsidRPr="00B87AEB">
        <w:rPr>
          <w:lang w:val="es-ES"/>
        </w:rPr>
        <w:t xml:space="preserve"> la causa de una </w:t>
      </w:r>
      <w:r>
        <w:rPr>
          <w:lang w:val="es-ES"/>
        </w:rPr>
        <w:t xml:space="preserve">gran </w:t>
      </w:r>
      <w:r w:rsidRPr="00B87AEB">
        <w:rPr>
          <w:lang w:val="es-ES"/>
        </w:rPr>
        <w:t xml:space="preserve">acumulación de combustibles pesados y </w:t>
      </w:r>
      <w:r>
        <w:rPr>
          <w:lang w:val="es-ES"/>
        </w:rPr>
        <w:t xml:space="preserve">más </w:t>
      </w:r>
      <w:r w:rsidRPr="00B87AEB">
        <w:rPr>
          <w:lang w:val="es-ES"/>
        </w:rPr>
        <w:t>recientemente la remoción de</w:t>
      </w:r>
      <w:r>
        <w:rPr>
          <w:lang w:val="es-ES"/>
        </w:rPr>
        <w:t>l</w:t>
      </w:r>
      <w:r w:rsidRPr="00B87AEB">
        <w:rPr>
          <w:lang w:val="es-ES"/>
        </w:rPr>
        <w:t xml:space="preserve"> ganado ha incrementado </w:t>
      </w:r>
      <w:r>
        <w:rPr>
          <w:lang w:val="es-ES"/>
        </w:rPr>
        <w:t>el riesgo de incendios catastróficos.</w:t>
      </w:r>
    </w:p>
    <w:p w:rsidR="00A03512" w:rsidRDefault="00A03512" w:rsidP="003B71D4">
      <w:pPr>
        <w:spacing w:line="360" w:lineRule="auto"/>
      </w:pPr>
    </w:p>
    <w:p w:rsidR="00A03512" w:rsidRDefault="00A03512" w:rsidP="003B71D4">
      <w:pPr>
        <w:spacing w:line="360" w:lineRule="auto"/>
      </w:pPr>
      <w:r>
        <w:t>Ecosistema de Faldeos de la Sierra</w:t>
      </w:r>
    </w:p>
    <w:p w:rsidR="00A03512" w:rsidRDefault="00A03512" w:rsidP="003B71D4">
      <w:pPr>
        <w:spacing w:line="360" w:lineRule="auto"/>
        <w:rPr>
          <w:lang w:val="es-ES"/>
        </w:rPr>
      </w:pPr>
      <w:r>
        <w:t>Este ecosistema se localiza por debajo del ecosistema de bosque entre los 2,000 y 1,200 msnm, por lo que representa una zona de transición hacia el ecosistema de desierto en las partes más bajas del COBIO. Una característica importante de este ecosistema es la topografía accidentada ya que se le encuentra principalmente en cañones y bajadas de la sierra. Las principales comunidades vegetales de este ecosistema son el matorral desértico y el bosque de encino que se pueden encontrar en lados opuestos de cañones, asociado a su exposición. La orografía particular de este ecosistema provee una estratificación de ambientes con microclimas distintos, lo que promueve la diversidad beta. Los altos niveles de materia orgánica en lo suelos de este ecosistema facilitan la retención de agua y nutrientes, permitiendo una alta productividad primaria. Algunas especies de plantas representativas son las cactáceas, yucas, agaves, encinos (en forma de arbusto y en forma de árbol), así como algunas especies de pino. Las fuentes de disturbio en este ecosistema son grandes flujos de agua durante eventos de precipitación extrema que alteran los arroyos, y los incendios de baja intensidad que de manera natural mantienen un mosaico de diferentes clases de edades y parches a nivel paisaje. Al igual que en el ecosistema de bosque, aquí</w:t>
      </w:r>
      <w:r>
        <w:rPr>
          <w:lang w:val="es-ES"/>
        </w:rPr>
        <w:t xml:space="preserve"> se encuentran también manantiales perennes y efímeros, ojos de agua, y tinajas que además de ser importantes hábitats son los principales sitios de abastecimiento de agua desde donde se conduce a través de mangueras para las actividades ganaderas en las partes más bajas del COBIO, así como para bebederos para fauna silvestre en los faldeos de la Sierra de Maderas del Carmen. Debido a la presencia de las fuentes de agua, en este ecosistema se  mantienen pequeños asentamientos temporales localmente llamados “campos” donde destaca la presencia de majadas para la producción de ganado caprino, que son administradas por grupos familiares de las comunidades ejidales del COBIO. </w:t>
      </w:r>
    </w:p>
    <w:p w:rsidR="00A03512" w:rsidRDefault="00A03512" w:rsidP="003B71D4">
      <w:pPr>
        <w:spacing w:line="360" w:lineRule="auto"/>
        <w:rPr>
          <w:lang w:val="es-ES"/>
        </w:rPr>
      </w:pPr>
    </w:p>
    <w:p w:rsidR="00A03512" w:rsidRDefault="00A03512" w:rsidP="003B71D4">
      <w:pPr>
        <w:spacing w:line="360" w:lineRule="auto"/>
      </w:pPr>
      <w:r>
        <w:t>Ecosistema de Pastizales</w:t>
      </w:r>
    </w:p>
    <w:p w:rsidR="00A03512" w:rsidRDefault="00A03512" w:rsidP="003B71D4">
      <w:pPr>
        <w:spacing w:line="360" w:lineRule="auto"/>
      </w:pPr>
      <w:r>
        <w:t xml:space="preserve">Este ecosistema se encuentra en sitios localizados del COBIO, principalmente en mesas que se encuentran a la misa altitud que el ecosistema de faldeos de la sierra, entre los 1,200 y 2,000 msnm. Sin embargo a diferencia del ecosistema de faldeos de la sierra, la topografía del ecosistema de pastizales es de planicies ya sea en valles inter-montanos o mesas. Se caracteriza por tener suelos profundos y más productivos que los encontrados en el ecosistema de desierto. La vegetación dominante es pastizal mediano abierto con dominancia de pastos del genero </w:t>
      </w:r>
      <w:r w:rsidRPr="002823DB">
        <w:rPr>
          <w:i/>
          <w:iCs/>
        </w:rPr>
        <w:t>Bouteloa</w:t>
      </w:r>
      <w:r>
        <w:t xml:space="preserve">, yucas, y especies arbustivas como mezquite, gatuño, y largoncillo. Este ecosistema es mantenido de manera natural por la presencia de incendios naturales que son rápidos y de baja intensidad. Este régimen de disturbio ha sido drásticamente alterado por la actividad ganadera al punto que gran parte de este ecosistema se encuentra en degradación por la invasión de especies arbustivas, particularmente el mezquite. Solamente en sitos localizados que son poco accesibles o que no cuentan con agua se encuentra este ecosistema en buen estado de conservación, como la Mesa de los Fresnos al sur de la Sierra de Maderas del Carmen.   </w:t>
      </w:r>
    </w:p>
    <w:p w:rsidR="00A03512" w:rsidRDefault="00A03512" w:rsidP="003B71D4">
      <w:pPr>
        <w:spacing w:line="360" w:lineRule="auto"/>
      </w:pPr>
    </w:p>
    <w:p w:rsidR="00A03512" w:rsidRDefault="00A03512" w:rsidP="003B71D4">
      <w:pPr>
        <w:spacing w:line="360" w:lineRule="auto"/>
      </w:pPr>
      <w:r>
        <w:t>Ecosistema de Desierto</w:t>
      </w:r>
    </w:p>
    <w:p w:rsidR="00A03512" w:rsidRDefault="00A03512" w:rsidP="003B71D4">
      <w:pPr>
        <w:spacing w:line="360" w:lineRule="auto"/>
      </w:pPr>
      <w:r>
        <w:t>Este ecosistema es el que representa a la mayor parte del COBIO (aproximadamente el 80%) y se localiza por debajo de los 1,200 msnm, en los valles, bolsones, lomeríos bajos, abanicos aluviales, y cañones que se localizan desde la cara oeste de la sierra de Maderas del Carmen hacia el oeste abarcando completamente al área protegida de Ocampo y la mayor parte del APFF Cañón de Santa Elena en Chihuahua. La principal característica de este ecosistema es su baja precipitación, poca disponibilidad de nutrientes, y baja productividad primaria. Sin embargo, la vegetación de este ecosistema se caracteriza por una alta diversidad de especies y se caracteriza por formar mosaicos compuestos por áreas dominadas por arbustos bajos, matorral rosetofilo, pastos, y costra criptogámica. También se encuentran en sitios localizados áreas con dunas de arena y pequeñas lagunas salinas secas. Aunque de manera muy limitada, también forman parte de este ecosistema algunos manantiales perennes, arroyos temporales, y pequeñas lagunas efímeras.</w:t>
      </w:r>
    </w:p>
    <w:p w:rsidR="00A03512" w:rsidRDefault="00A03512" w:rsidP="003B71D4">
      <w:pPr>
        <w:spacing w:line="360" w:lineRule="auto"/>
      </w:pPr>
      <w:r>
        <w:t xml:space="preserve">El control interactivo más importante del ecosistema de desierto es el clima regional y las condiciones atmosféricas, particularmente la precipitación al regular los procesos ecosistémicos que son limitados por la disponibilidad de agua (productividad primaria, ciclos de nutrientes y reproducción vegetal). La escala geográfica, topografía y las estaciones del año interactúan para determinar el movimiento del agua, el cual se caracteriza por crear “pulsos” o eventos discretos en la precipitación, evaporación, transpiración, escurrimiento, almacenaje, y drenaje del agua en el paisaje. Los eventos localizados de precipitación ligera afectan procesos sobre la superficie del suelo como la mineralización y volatilización de partículas, mientras que una  precipitación más abundante promueve la germinación y la recarga de mantos acuíferos. El régimen de temperatura regulado por la radiación solar resulta en la perdida de agua por evaporación y en estrés hídrico en la vegetación durante los meses de verano, lo que limita la productividad primaria. Los procesos ecosistémicos en el desierto son determinados en gran parte por la geología y la hidrología. Aunque la topografía de este ecosistema es principalmente plana, existen variaciones locales que son suficientes para crear diferentes microclimas y hábitats para plantas y animales, así como también para determinar el tipo de escurrimientos producto de la precipitación. </w:t>
      </w:r>
    </w:p>
    <w:p w:rsidR="00A03512" w:rsidRDefault="00A03512" w:rsidP="003B71D4">
      <w:pPr>
        <w:spacing w:line="360" w:lineRule="auto"/>
      </w:pPr>
      <w:r>
        <w:t xml:space="preserve">Los recursos del suelo determinan la productividad y funcionalidad del ecosistema de desierto, principalmente la disponibilidad de agua y nutrientes que limitan la productividad primaria. La estabilidad del suelo, textura, y estructura influencian la mineralización, capacidad del suelo de retener humedad, microbiología del suelo, y profundidad de las raíces, factores que en su conjunto determinan la composición, distribución y crecimiento de las plantas. La resistencia de este ecosistema está relacionada a las propiedades particulares del suelo en cada sitio. Las capas de suelo que son delgadas o altamente compactadas y ricas en limo proveen un substrato favorable para el establecimiento de cactáceas y menos favorables para otras especies de plantas. La vegetación provee la energía para niveles tróficos superiores y su estructura protege a los suelos del efecto erosivo de la precipitación, viento, y escurrimiento de agua, al mismo tiempo que favorecen la retención de nutrientes en el suelo. Las plantas también modifican el ambiente físico a través del efecto de su sombra y la acumulación de materia orgánica. Asimismo, la costra criptogámica-comunidades microbianas de hongos, algas, cianobacterias, líquenes, y musgos influencia la estabilidad del suelo y facilita el crecimiento de muchas especies de plantas, así como también cumple una importante función en la fijación del nitrógeno. La costra criptogámica es muy susceptible a la contaminación y al efecto del pisoteo por animales, lo que aunado a su lento crecimiento hace que sitios perturbados tarden decenas o centenas de años en recuperarse. Los grupos funcionales de fauna clave para este ecosistema y el papel que tienen en los procesos ecosistémicos fueron descritos por Whitford y Bestelmeyer (2006). Entre estos destacan las ratas canguro y las termitas subterráneas que por sus actividades como excavadoras y por sus hábitos alimenticios de cosechar y almacenar semillas tienen influencia en el establecimiento de plantas herbáceas, la composición vegetal, la infiltración del agua, y la redistribución de nutrientes. </w:t>
      </w:r>
    </w:p>
    <w:p w:rsidR="00A03512" w:rsidRDefault="00A03512" w:rsidP="003B71D4">
      <w:pPr>
        <w:spacing w:line="360" w:lineRule="auto"/>
      </w:pPr>
      <w:r>
        <w:t>Los disturbios naturales en el ecosistema de desierto incluyen a eventos climáticos extremos, incendios naturales,</w:t>
      </w:r>
      <w:r w:rsidRPr="001D34B3">
        <w:t xml:space="preserve"> </w:t>
      </w:r>
      <w:r>
        <w:t xml:space="preserve">e inundaciones locales. Los periodos de sequias prolongadas, particularmente cuando se combinan con fuertes vientos secos y cálidos, pueden provocar mortalidades masivas de pastos perenes y otras plantas, favoreciendo la erosión del suelo. Las tormentas de verano pueden ocasionar inundaciones locales que transportan materiales en la superficie del suelo y afectan la recarga de mantos acuíferos. A pesar de que el rol de los incendios naturales en comunidades vegetales desérticas puede ser variado y menor que otros factores determinantes más importantes (como la integridad del suelo), los incendios tienen un papel importante en el mantenimiento de las comunidades de pastizales áridos del desierto chihuahuense. En este ecosistema la mayor fuente de estrés es el sobrepastoreo por ganado domestico a través de la alteración de la composición vegetal y del pisoteo, principalmente de la costra criptogámica. A pesar de que el papel del sobrepastoreo en el aumento de la cubierta vegetal arbustiva es complejo, el monitoreo de estas comunidades vegetales puede ser importante para informar al manejo de estos recursos naturales. La introducción de especies exóticas invasoras es otra fuente de estrés importante para el ecosistema de desierto. Estas especies pueden remplazar a especies nativas, con una pérdida de biodiversidad que afecta al ecosistema y favorece a procesos de degradación. Por último, los incrementos en CO2 de fuentes locales y globales favorecen  el crecimiento de especies arbustivas C3 sobre el crecimiento de pastos nativos, lo que puede ayudar al aumento de la cobertura arbustiva y una disminución en la cubierta herbácea al competir por la disponibilidad de luz solar y recursos del suelo. La expansión en la cobertura de especies arbustivas puede ocasionar un incremento en el suelo desnudo entre arbustos y finalmente favorecer la erosión del suelo, además de los cambios en las especies animales asociadas a la cubierta herbácea. </w:t>
      </w:r>
    </w:p>
    <w:p w:rsidR="00A03512" w:rsidRDefault="00A03512" w:rsidP="003B71D4">
      <w:pPr>
        <w:spacing w:line="360" w:lineRule="auto"/>
      </w:pPr>
    </w:p>
    <w:p w:rsidR="00A03512" w:rsidRDefault="00A03512" w:rsidP="003B71D4">
      <w:pPr>
        <w:spacing w:line="360" w:lineRule="auto"/>
      </w:pPr>
      <w:r>
        <w:t>Ecosistema del Rio Bravo</w:t>
      </w:r>
    </w:p>
    <w:p w:rsidR="00A03512" w:rsidRDefault="00A03512" w:rsidP="003B71D4">
      <w:pPr>
        <w:spacing w:line="360" w:lineRule="auto"/>
      </w:pPr>
      <w:r>
        <w:t xml:space="preserve">Este ecosistema es el que ocupa la menor superficie de los ecosistemas del COBIO, pero que destaca por ser un sistema que es influenciado por factores fuera del mismo (en cuencas aguas arriba) y por ser compartido con áreas protegidas y propiedades privadas de los Estados Unidos. Este ecosistema es influenciado por el clima y las condiciones atmosféricas, principalmente la precipitación que determina los procesos geomorfológicos del rio. Las fuentes de agua para el rio Bravo son agua en el subsuelo, manantiales superficiales, y los escurrimientos asociados a eventos de precipitación. El clima se caracteriza por tener una temporada de lluvia y una temporada seca, con los flujos más altos entre los meses de Julio y Octubre. Durante las tormentas de verano se pueden incrementar repentinamente los flujos de agua y formar torrentes que forman rápidos en sitios donde el rio se constriñe por las paredes de cañones como en el Cañón de Santa Elena y el Cañón de Boquillas. Estos flujos repentinos pueden alterar los bancos del rio y transportan grandes cantidades de sedimentos que en sitos localizados pueden cambian el carácter del rio. Durante periodos secos donde disminuyen notablemente los flujos del rio se favorece el desarrollo de vegetación en las zonas riparias dentro de los cañones. Las condiciones en cuencas hidrológicas aguas arriba del rio influencian la cantidad y calidad del agua, desde donde se arrastran partículas disueltas y sedimentos que le confieren condiciones de turbidez con una penetración de luz de menos de 1 m. Asimismo, eventos de disturbio en cuencas aguas arriba, como los incendios, pueden alterar la cobertura vegetal y por ende aumentar los escurrimientos y descargas de sedimentos hacia el rio, alterando así condiciones en este ecosistema del COBIO. El régimen de flujos de agua determina el carácter del rio, de manera que altos volúmenes de escurrimientos contribuyen a una mayor variabilidad en los flujos estacionales y promueve así la variabilidad espacial de la estructura de los bancos y los hábitats de organismos acuáticos. </w:t>
      </w:r>
    </w:p>
    <w:p w:rsidR="00A03512" w:rsidRDefault="00A03512" w:rsidP="003B71D4">
      <w:pPr>
        <w:spacing w:line="360" w:lineRule="auto"/>
      </w:pPr>
      <w:r>
        <w:t>La composición física y química del agua en el rio consiste de 1) componentes disueltos de electrolitos (iones y sales) y no-electrolitos (como carbón orgánico disuelto y sílice); 2) partículas de materia que incluye a minerales, partículas de carbón orgánico no viviente, y organismos (principalmente microorganismos); y 3) gases como O2 y CO2. Las cantidades y distribución de estos compuestos en el agua definen su calidad y determinan la capacidad del rio de mantener formas de vida superiores. Los sedimentos del rio y el substrato se componen de partículas que van desde el tamaño de partículas finas de cieno y arcilla, al tamaño de grava y ultimadamente al lecho de roca solida. Las macrófitas, bacterias, algas, y otros microorganismos forman una capa biótica sobre el sedimento y substrato que juega un papel clave en la economía de la energía del rio (como la fotosíntesis, flujo del carbono, transformación de nutrientes, y mineralización de detritos). El ecosistema de rio provee de hábitat para dos clases principales de fauna, los macroinvertebrados (como insectos acuáticos) y los vertebrados (como peces y anfibios), donde los macroinvertbrados representan el vínculo vital en sistemas acuáticos al consumir algas y proveer de alimento a las redes alimenticias de estos ecosistemas. Los peces y anfibios del rio sirven a su vez como fuente de alimento para vertebrados terrestres, vinculando así estos ecosistemas acuáticos con el resto de los ecosistemas de la región. Los organismos acuáticos responden a parámetros físicos y químicos del rio, como temperatura, substrato, PH, disponibilidad de oxigeno, y contaminantes, por lo que especies que son particularmente sensibles a estos cambios pueden utilizarse como indicadores biológicos de calidad. Los sitios del rio con alta calidad del agua tienden a tener una mayor diversidad de invertebrados acuaticos entre los que destacan las moscas de mayo (</w:t>
      </w:r>
      <w:r w:rsidRPr="004C5CEE">
        <w:rPr>
          <w:i/>
          <w:iCs/>
        </w:rPr>
        <w:t>Thraulodes</w:t>
      </w:r>
      <w:r>
        <w:t xml:space="preserve">, </w:t>
      </w:r>
      <w:r w:rsidRPr="004C5CEE">
        <w:rPr>
          <w:i/>
          <w:iCs/>
        </w:rPr>
        <w:t>Travella</w:t>
      </w:r>
      <w:r>
        <w:t xml:space="preserve">, </w:t>
      </w:r>
      <w:r w:rsidRPr="004C5CEE">
        <w:rPr>
          <w:i/>
          <w:iCs/>
        </w:rPr>
        <w:t>Choroterpes mexicanus</w:t>
      </w:r>
      <w:r>
        <w:t xml:space="preserve">, </w:t>
      </w:r>
      <w:r w:rsidRPr="004C5CEE">
        <w:rPr>
          <w:i/>
          <w:iCs/>
        </w:rPr>
        <w:t>Tricorythodes</w:t>
      </w:r>
      <w:r>
        <w:t>), moscas de agua (</w:t>
      </w:r>
      <w:r w:rsidRPr="004C5CEE">
        <w:rPr>
          <w:i/>
          <w:iCs/>
        </w:rPr>
        <w:t>Cheumatopsyche</w:t>
      </w:r>
      <w:r>
        <w:t xml:space="preserve">, </w:t>
      </w:r>
      <w:r w:rsidRPr="004C5CEE">
        <w:rPr>
          <w:i/>
          <w:iCs/>
        </w:rPr>
        <w:t>Hydroptila</w:t>
      </w:r>
      <w:r>
        <w:t xml:space="preserve">, </w:t>
      </w:r>
      <w:r w:rsidRPr="004C5CEE">
        <w:rPr>
          <w:i/>
          <w:iCs/>
        </w:rPr>
        <w:t>Protoptila</w:t>
      </w:r>
      <w:r>
        <w:t>), y chironomidos (</w:t>
      </w:r>
      <w:r w:rsidRPr="004C5CEE">
        <w:rPr>
          <w:i/>
          <w:iCs/>
        </w:rPr>
        <w:t>Orthocladius</w:t>
      </w:r>
      <w:r>
        <w:t xml:space="preserve">, </w:t>
      </w:r>
      <w:r w:rsidRPr="004C5CEE">
        <w:rPr>
          <w:i/>
          <w:iCs/>
        </w:rPr>
        <w:t>Cricotopus trifascia</w:t>
      </w:r>
      <w:r>
        <w:t>). La vegetación riparia del ecosistema de rio sirve además como hábitat para diversas especies de aves y mamíferos terrestres que utilizan este ambiente como corredor biológico y como áreas de refugio, anidación, y alimentación.</w:t>
      </w:r>
    </w:p>
    <w:p w:rsidR="00A03512" w:rsidRPr="0017564D" w:rsidRDefault="00A03512" w:rsidP="0017564D">
      <w:pPr>
        <w:spacing w:line="360" w:lineRule="auto"/>
      </w:pPr>
      <w:r>
        <w:t>Las actividades humanas impactan al ecosistema de rio principalmente por la contaminación por descargas urbanas y agrícolas, así como por la alteración de los regímenes de flujos por la construcción de presas y el uso de agua para la irrigación. Las descargas al rio transportan contaminantes (nitrógeno y fosforo) que favorecen la eutrofización y reducen el oxigeno disuelto, mientras que las presas reducen los flujos reduciendo la disponibilidad de agua, aumentando la acumulación de sedimentos, alterando así la estructura de los bancos del rio. Las descargas también pueden transportar otros contaminantes como metales pesados. Las minas de la zona de influencia del COBIO en Terlingua, Texas, llegaron a ser el tercer productor de mercurio en los Estados Unidos y a pesar de que dejaron de funcionar en los 1970s, se han reportado niveles altos de mercurio en peces aguas abajo en la presa La Amistad (Becker et al. 2011). Los cambios en el ecosistema de rio provocados por las actividades humanas han reducido la diversidad de la comunidad béntica, disminuido las poblaciones de moluscos, y ocasionado la extirpación de especies de peces, y la disminución en las poblaciones de al menos 12 especies diferentes de peces (Dahm et al. 2005, Purchase et al. 2001). Asimismo, en el ecosistema de rio del COBIO existen especies exóticas que son de interés como el pinabete (</w:t>
      </w:r>
      <w:r w:rsidRPr="0017564D">
        <w:rPr>
          <w:i/>
          <w:iCs/>
        </w:rPr>
        <w:t>Tamarix</w:t>
      </w:r>
      <w:r>
        <w:t xml:space="preserve"> spp.), carrizo gigante (</w:t>
      </w:r>
      <w:r w:rsidRPr="0017564D">
        <w:rPr>
          <w:i/>
          <w:iCs/>
        </w:rPr>
        <w:t>Arundo donax</w:t>
      </w:r>
      <w:r>
        <w:t>), almeja asiatica (</w:t>
      </w:r>
      <w:r w:rsidRPr="0017564D">
        <w:rPr>
          <w:i/>
          <w:iCs/>
        </w:rPr>
        <w:t>Corbicula fluminea</w:t>
      </w:r>
      <w:r>
        <w:t>), y el coipu (</w:t>
      </w:r>
      <w:r w:rsidRPr="0017564D">
        <w:rPr>
          <w:i/>
          <w:iCs/>
        </w:rPr>
        <w:t>Myocastor coypus</w:t>
      </w:r>
      <w:r>
        <w:t>). Recientemente, en un esfuerzo por controlar al pinabete las autoridades de los Estados Unidos liberaron escarabajos exóticos (</w:t>
      </w:r>
      <w:r w:rsidRPr="0017564D">
        <w:rPr>
          <w:i/>
          <w:iCs/>
        </w:rPr>
        <w:t xml:space="preserve">Diorhabda </w:t>
      </w:r>
      <w:r>
        <w:t>spp.) que son defoliadores del pinabete como agente de control biológico en este ecosistema de rio, por lo que su efecto deberá ser valorado en el futuro.</w:t>
      </w:r>
      <w:r>
        <w:rPr>
          <w:b/>
          <w:bCs/>
        </w:rPr>
        <w:br w:type="page"/>
      </w:r>
    </w:p>
    <w:p w:rsidR="00A03512" w:rsidRDefault="00A03512" w:rsidP="003B71D4">
      <w:pPr>
        <w:spacing w:line="360" w:lineRule="auto"/>
      </w:pPr>
      <w:r>
        <w:pict>
          <v:rect id="_x0000_i1029" style="width:468pt;height:6pt" o:hralign="center" o:hrstd="t" o:hrnoshade="t" o:hr="t" fillcolor="#17365d" stroked="f"/>
        </w:pict>
      </w:r>
    </w:p>
    <w:p w:rsidR="00A03512" w:rsidRPr="009655BA" w:rsidRDefault="00A03512" w:rsidP="003B71D4">
      <w:pPr>
        <w:pBdr>
          <w:bottom w:val="single" w:sz="4" w:space="1" w:color="auto"/>
        </w:pBdr>
        <w:spacing w:line="360" w:lineRule="auto"/>
        <w:rPr>
          <w:b/>
          <w:bCs/>
          <w:sz w:val="32"/>
          <w:szCs w:val="32"/>
        </w:rPr>
      </w:pPr>
      <w:r>
        <w:rPr>
          <w:b/>
          <w:bCs/>
          <w:sz w:val="32"/>
          <w:szCs w:val="32"/>
        </w:rPr>
        <w:t>Signos Vitales</w:t>
      </w:r>
    </w:p>
    <w:p w:rsidR="00A03512" w:rsidRDefault="00A03512" w:rsidP="003B71D4">
      <w:pPr>
        <w:spacing w:line="360" w:lineRule="auto"/>
        <w:rPr>
          <w:b/>
          <w:bCs/>
        </w:rPr>
      </w:pPr>
    </w:p>
    <w:p w:rsidR="00A03512" w:rsidRDefault="00A03512" w:rsidP="003B71D4">
      <w:pPr>
        <w:spacing w:line="360" w:lineRule="auto"/>
        <w:rPr>
          <w:b/>
          <w:bCs/>
        </w:rPr>
      </w:pPr>
      <w:r>
        <w:rPr>
          <w:b/>
          <w:bCs/>
        </w:rPr>
        <w:t>Taller de Asignación de Signos Vitales</w:t>
      </w:r>
    </w:p>
    <w:p w:rsidR="00A03512" w:rsidRDefault="00A03512" w:rsidP="003B71D4">
      <w:pPr>
        <w:spacing w:line="360" w:lineRule="auto"/>
      </w:pPr>
    </w:p>
    <w:p w:rsidR="00A03512" w:rsidRDefault="00A03512" w:rsidP="00041CCC">
      <w:pPr>
        <w:spacing w:line="360" w:lineRule="auto"/>
      </w:pPr>
      <w:r>
        <w:t xml:space="preserve">Como parte central de las actividades para identificar los indicadores de signos vitales más apropiados para los ecosistemas presentes en el COBIO y sentar las bases para implementar un sistema regional de monitoreo de signos vitales, se llevo a cabo un taller con especialistas de las diferentes áreas del conocimiento científico (Anexo I). El taller se celebro en San Nicolás de los Garza, Nuevo León los días 25 y 26 de Agosto de 2011, durante el cual se presentaron diferentes platicas como contexto para posteriormente trabajar en 3 mesas separadas. En cada mesa se les asigno la tarea de utilizar los modelos conceptuales de ecosistemas del COBIO para así identificar los aspectos clave de los controles interactivos, procesos ecosistemicos, fuentes de estrés, y procesos de degradación; para finalmente proponer los indicadores potenciales y metodologías (signos vitales). La información generada por cada mesa fue presentada por cada una de ellas en una exposición al frente de todos los participantes, así como se recabaron los diagramas que la explicaban. Los resultados de las mesas de trabajo fueron editados a su vez y se presentan en las siguientes dos secciones de manera específica para cada ecosistema identificado. </w:t>
      </w:r>
    </w:p>
    <w:p w:rsidR="00A03512" w:rsidRDefault="00A03512">
      <w:pPr>
        <w:spacing w:after="200" w:line="276" w:lineRule="auto"/>
      </w:pPr>
      <w:r>
        <w:br w:type="page"/>
      </w:r>
    </w:p>
    <w:p w:rsidR="00A03512" w:rsidRPr="004604FA" w:rsidRDefault="00A03512" w:rsidP="003B71D4">
      <w:pPr>
        <w:spacing w:line="360" w:lineRule="auto"/>
      </w:pPr>
    </w:p>
    <w:p w:rsidR="00A03512" w:rsidRDefault="00A03512" w:rsidP="003B71D4">
      <w:pPr>
        <w:spacing w:line="360" w:lineRule="auto"/>
        <w:rPr>
          <w:b/>
          <w:bCs/>
        </w:rPr>
      </w:pPr>
      <w:r>
        <w:rPr>
          <w:b/>
          <w:bCs/>
        </w:rPr>
        <w:t>Ecosistema de Bosque</w:t>
      </w:r>
    </w:p>
    <w:p w:rsidR="00A03512" w:rsidRPr="00DD1D64" w:rsidRDefault="00A03512" w:rsidP="003B71D4">
      <w:pPr>
        <w:spacing w:line="360" w:lineRule="auto"/>
      </w:pPr>
    </w:p>
    <w:tbl>
      <w:tblPr>
        <w:tblW w:w="0" w:type="auto"/>
        <w:tblInd w:w="2" w:type="dxa"/>
        <w:tblLook w:val="00A0"/>
      </w:tblPr>
      <w:tblGrid>
        <w:gridCol w:w="2088"/>
        <w:gridCol w:w="1890"/>
        <w:gridCol w:w="2789"/>
        <w:gridCol w:w="2807"/>
      </w:tblGrid>
      <w:tr w:rsidR="00A03512">
        <w:tc>
          <w:tcPr>
            <w:tcW w:w="2088" w:type="dxa"/>
            <w:tcBorders>
              <w:top w:val="single" w:sz="4" w:space="0" w:color="auto"/>
              <w:bottom w:val="single" w:sz="4" w:space="0" w:color="auto"/>
            </w:tcBorders>
          </w:tcPr>
          <w:p w:rsidR="00A03512" w:rsidRPr="005A7204" w:rsidRDefault="00A03512" w:rsidP="008E54C5">
            <w:pPr>
              <w:rPr>
                <w:b/>
                <w:bCs/>
              </w:rPr>
            </w:pPr>
            <w:r w:rsidRPr="005A7204">
              <w:rPr>
                <w:b/>
                <w:bCs/>
                <w:sz w:val="22"/>
                <w:szCs w:val="22"/>
              </w:rPr>
              <w:t>Proceso de Degradación</w:t>
            </w:r>
          </w:p>
          <w:p w:rsidR="00A03512" w:rsidRPr="005A7204" w:rsidRDefault="00A03512" w:rsidP="008E54C5">
            <w:pPr>
              <w:rPr>
                <w:b/>
                <w:bCs/>
                <w:sz w:val="16"/>
                <w:szCs w:val="16"/>
              </w:rPr>
            </w:pPr>
          </w:p>
        </w:tc>
        <w:tc>
          <w:tcPr>
            <w:tcW w:w="1890" w:type="dxa"/>
            <w:tcBorders>
              <w:top w:val="single" w:sz="4" w:space="0" w:color="auto"/>
              <w:bottom w:val="single" w:sz="4" w:space="0" w:color="auto"/>
            </w:tcBorders>
          </w:tcPr>
          <w:p w:rsidR="00A03512" w:rsidRPr="005A7204" w:rsidRDefault="00A03512" w:rsidP="008E54C5">
            <w:pPr>
              <w:rPr>
                <w:b/>
                <w:bCs/>
              </w:rPr>
            </w:pPr>
            <w:r w:rsidRPr="005A7204">
              <w:rPr>
                <w:b/>
                <w:bCs/>
                <w:sz w:val="22"/>
                <w:szCs w:val="22"/>
              </w:rPr>
              <w:t>Fuente de Estrés</w:t>
            </w:r>
          </w:p>
        </w:tc>
        <w:tc>
          <w:tcPr>
            <w:tcW w:w="2790" w:type="dxa"/>
            <w:tcBorders>
              <w:top w:val="single" w:sz="4" w:space="0" w:color="auto"/>
              <w:bottom w:val="single" w:sz="4" w:space="0" w:color="auto"/>
            </w:tcBorders>
          </w:tcPr>
          <w:p w:rsidR="00A03512" w:rsidRPr="005A7204" w:rsidRDefault="00A03512" w:rsidP="008E54C5">
            <w:pPr>
              <w:rPr>
                <w:b/>
                <w:bCs/>
              </w:rPr>
            </w:pPr>
            <w:r w:rsidRPr="005A7204">
              <w:rPr>
                <w:b/>
                <w:bCs/>
                <w:sz w:val="22"/>
                <w:szCs w:val="22"/>
              </w:rPr>
              <w:t>Efectos Ecológicos</w:t>
            </w:r>
          </w:p>
        </w:tc>
        <w:tc>
          <w:tcPr>
            <w:tcW w:w="2808" w:type="dxa"/>
            <w:tcBorders>
              <w:top w:val="single" w:sz="4" w:space="0" w:color="auto"/>
              <w:bottom w:val="single" w:sz="4" w:space="0" w:color="auto"/>
            </w:tcBorders>
          </w:tcPr>
          <w:p w:rsidR="00A03512" w:rsidRPr="005A7204" w:rsidRDefault="00A03512" w:rsidP="008E54C5">
            <w:pPr>
              <w:rPr>
                <w:b/>
                <w:bCs/>
              </w:rPr>
            </w:pPr>
            <w:r w:rsidRPr="005A7204">
              <w:rPr>
                <w:b/>
                <w:bCs/>
                <w:sz w:val="22"/>
                <w:szCs w:val="22"/>
              </w:rPr>
              <w:t>Indicadores Potenciales</w:t>
            </w:r>
          </w:p>
        </w:tc>
      </w:tr>
      <w:tr w:rsidR="00A03512">
        <w:tc>
          <w:tcPr>
            <w:tcW w:w="2088" w:type="dxa"/>
            <w:tcBorders>
              <w:top w:val="single" w:sz="4" w:space="0" w:color="auto"/>
              <w:bottom w:val="single" w:sz="4" w:space="0" w:color="auto"/>
            </w:tcBorders>
          </w:tcPr>
          <w:p w:rsidR="00A03512" w:rsidRPr="005A7204" w:rsidRDefault="00A03512" w:rsidP="008E54C5">
            <w:r w:rsidRPr="005A7204">
              <w:rPr>
                <w:sz w:val="22"/>
                <w:szCs w:val="22"/>
              </w:rPr>
              <w:t>Incendios anómalos de alta frecuencia e intensidad por acumulación de combustibles</w:t>
            </w:r>
          </w:p>
        </w:tc>
        <w:tc>
          <w:tcPr>
            <w:tcW w:w="1890" w:type="dxa"/>
            <w:tcBorders>
              <w:top w:val="single" w:sz="4" w:space="0" w:color="auto"/>
              <w:bottom w:val="single" w:sz="4" w:space="0" w:color="auto"/>
            </w:tcBorders>
          </w:tcPr>
          <w:p w:rsidR="00A03512" w:rsidRPr="005A7204" w:rsidRDefault="00A03512" w:rsidP="008E54C5">
            <w:r w:rsidRPr="005A7204">
              <w:rPr>
                <w:sz w:val="22"/>
                <w:szCs w:val="22"/>
              </w:rPr>
              <w:t>Alteración del régimen de fuego natural por actividades forestales pasadas</w:t>
            </w:r>
          </w:p>
        </w:tc>
        <w:tc>
          <w:tcPr>
            <w:tcW w:w="2790" w:type="dxa"/>
            <w:tcBorders>
              <w:top w:val="single" w:sz="4" w:space="0" w:color="auto"/>
              <w:bottom w:val="single" w:sz="4" w:space="0" w:color="auto"/>
            </w:tcBorders>
          </w:tcPr>
          <w:p w:rsidR="00A03512" w:rsidRPr="005A7204" w:rsidRDefault="00A03512" w:rsidP="008E54C5">
            <w:r w:rsidRPr="005A7204">
              <w:rPr>
                <w:sz w:val="22"/>
                <w:szCs w:val="22"/>
              </w:rPr>
              <w:t>Perdida de integridad ecológica, cambios en la estructura y composición del bosque, aumento en la densidad de arboles jóvenes, y erosión. Aumento en el tamaño de áreas incendiadas, perdida de atributos del suelo por esterilización por calor</w:t>
            </w:r>
          </w:p>
        </w:tc>
        <w:tc>
          <w:tcPr>
            <w:tcW w:w="2808" w:type="dxa"/>
            <w:tcBorders>
              <w:top w:val="single" w:sz="4" w:space="0" w:color="auto"/>
              <w:bottom w:val="single" w:sz="4" w:space="0" w:color="auto"/>
            </w:tcBorders>
          </w:tcPr>
          <w:p w:rsidR="00A03512" w:rsidRPr="005A7204" w:rsidRDefault="00A03512" w:rsidP="00E92DFF">
            <w:r w:rsidRPr="005A7204">
              <w:rPr>
                <w:sz w:val="22"/>
                <w:szCs w:val="22"/>
              </w:rPr>
              <w:t>Atributos del régimen de fuego, cambios en la estructura poblacional de especies dominantes, aumento de cargas de combustible, cobertura arborea (DAP), porcentaje de sobrevivencia en el banco de semillas después de incendios</w:t>
            </w:r>
          </w:p>
        </w:tc>
      </w:tr>
      <w:tr w:rsidR="00A03512">
        <w:tc>
          <w:tcPr>
            <w:tcW w:w="2088" w:type="dxa"/>
            <w:tcBorders>
              <w:top w:val="single" w:sz="4" w:space="0" w:color="auto"/>
              <w:bottom w:val="single" w:sz="4" w:space="0" w:color="auto"/>
            </w:tcBorders>
          </w:tcPr>
          <w:p w:rsidR="00A03512" w:rsidRPr="005A7204" w:rsidRDefault="00A03512" w:rsidP="00B8562F">
            <w:r w:rsidRPr="005A7204">
              <w:rPr>
                <w:sz w:val="22"/>
                <w:szCs w:val="22"/>
              </w:rPr>
              <w:t>Cambios en clima regional: aumento de ondas de calor en verano y de sequias extremas, aumento de temperaturas en el invierno, aumento en eventos de precipitación extremos</w:t>
            </w:r>
          </w:p>
        </w:tc>
        <w:tc>
          <w:tcPr>
            <w:tcW w:w="1890" w:type="dxa"/>
            <w:tcBorders>
              <w:top w:val="single" w:sz="4" w:space="0" w:color="auto"/>
              <w:bottom w:val="single" w:sz="4" w:space="0" w:color="auto"/>
            </w:tcBorders>
          </w:tcPr>
          <w:p w:rsidR="00A03512" w:rsidRPr="005A7204" w:rsidRDefault="00A03512" w:rsidP="008E54C5">
            <w:r w:rsidRPr="005A7204">
              <w:rPr>
                <w:sz w:val="22"/>
                <w:szCs w:val="22"/>
              </w:rPr>
              <w:t>Cambio climático</w:t>
            </w:r>
          </w:p>
        </w:tc>
        <w:tc>
          <w:tcPr>
            <w:tcW w:w="2790" w:type="dxa"/>
            <w:tcBorders>
              <w:top w:val="single" w:sz="4" w:space="0" w:color="auto"/>
              <w:bottom w:val="single" w:sz="4" w:space="0" w:color="auto"/>
            </w:tcBorders>
          </w:tcPr>
          <w:p w:rsidR="00A03512" w:rsidRPr="005A7204" w:rsidRDefault="00A03512" w:rsidP="006B6C2A">
            <w:r w:rsidRPr="005A7204">
              <w:rPr>
                <w:sz w:val="22"/>
                <w:szCs w:val="22"/>
              </w:rPr>
              <w:t xml:space="preserve">Cambios en la fenología, distribución, y abundancia de especies de bosque. Disminución de cubierta de arbolado por estrés hídrico y aparición de plagas, desaparición de especies de distribución restringida por alteración en dinámicas de dispersión y recolonización </w:t>
            </w:r>
          </w:p>
        </w:tc>
        <w:tc>
          <w:tcPr>
            <w:tcW w:w="2808" w:type="dxa"/>
            <w:tcBorders>
              <w:top w:val="single" w:sz="4" w:space="0" w:color="auto"/>
              <w:bottom w:val="single" w:sz="4" w:space="0" w:color="auto"/>
            </w:tcBorders>
          </w:tcPr>
          <w:p w:rsidR="00A03512" w:rsidRPr="005A7204" w:rsidRDefault="00A03512" w:rsidP="00276998">
            <w:r w:rsidRPr="005A7204">
              <w:rPr>
                <w:sz w:val="22"/>
                <w:szCs w:val="22"/>
              </w:rPr>
              <w:t>Cambios en fenología de especies clave, incidencia y dinámica de plagas y enfermedades. Cambios en dinámica hídrica del suelo. Detección de especies extra-regionales no registradas con anterioridad, desaparición de especies de distribución restringida</w:t>
            </w:r>
          </w:p>
        </w:tc>
      </w:tr>
      <w:tr w:rsidR="00A03512">
        <w:tc>
          <w:tcPr>
            <w:tcW w:w="2088" w:type="dxa"/>
            <w:tcBorders>
              <w:top w:val="single" w:sz="4" w:space="0" w:color="auto"/>
              <w:bottom w:val="single" w:sz="4" w:space="0" w:color="auto"/>
            </w:tcBorders>
          </w:tcPr>
          <w:p w:rsidR="00A03512" w:rsidRPr="005A7204" w:rsidRDefault="00A03512" w:rsidP="008E54C5">
            <w:r w:rsidRPr="005A7204">
              <w:rPr>
                <w:sz w:val="22"/>
                <w:szCs w:val="22"/>
              </w:rPr>
              <w:t>Invasión de especies exóticas</w:t>
            </w:r>
          </w:p>
        </w:tc>
        <w:tc>
          <w:tcPr>
            <w:tcW w:w="1890" w:type="dxa"/>
            <w:tcBorders>
              <w:top w:val="single" w:sz="4" w:space="0" w:color="auto"/>
              <w:bottom w:val="single" w:sz="4" w:space="0" w:color="auto"/>
            </w:tcBorders>
          </w:tcPr>
          <w:p w:rsidR="00A03512" w:rsidRPr="005A7204" w:rsidRDefault="00A03512" w:rsidP="00972523">
            <w:r w:rsidRPr="005A7204">
              <w:rPr>
                <w:sz w:val="22"/>
                <w:szCs w:val="22"/>
              </w:rPr>
              <w:t>Actividades agropecuarias, poblaciones de especies exóticas establecidas fuera del COBIO</w:t>
            </w:r>
          </w:p>
        </w:tc>
        <w:tc>
          <w:tcPr>
            <w:tcW w:w="2790" w:type="dxa"/>
            <w:tcBorders>
              <w:top w:val="single" w:sz="4" w:space="0" w:color="auto"/>
              <w:bottom w:val="single" w:sz="4" w:space="0" w:color="auto"/>
            </w:tcBorders>
          </w:tcPr>
          <w:p w:rsidR="00A03512" w:rsidRPr="005A7204" w:rsidRDefault="00A03512" w:rsidP="008E54C5">
            <w:r w:rsidRPr="005A7204">
              <w:rPr>
                <w:sz w:val="22"/>
                <w:szCs w:val="22"/>
              </w:rPr>
              <w:t>Cambios en composición de especies, plantas: alteración en ciclos de nutrientes del suelo, cambios en la estructura de grupos funcionales; animales: perdida de especies nativas</w:t>
            </w:r>
          </w:p>
        </w:tc>
        <w:tc>
          <w:tcPr>
            <w:tcW w:w="2808" w:type="dxa"/>
            <w:tcBorders>
              <w:top w:val="single" w:sz="4" w:space="0" w:color="auto"/>
              <w:bottom w:val="single" w:sz="4" w:space="0" w:color="auto"/>
            </w:tcBorders>
          </w:tcPr>
          <w:p w:rsidR="00A03512" w:rsidRPr="005A7204" w:rsidRDefault="00A03512" w:rsidP="008E54C5">
            <w:r w:rsidRPr="005A7204">
              <w:rPr>
                <w:sz w:val="22"/>
                <w:szCs w:val="22"/>
              </w:rPr>
              <w:t>Presencia, distribución y abundancia de especies exóticas</w:t>
            </w:r>
          </w:p>
        </w:tc>
      </w:tr>
      <w:tr w:rsidR="00A03512">
        <w:tc>
          <w:tcPr>
            <w:tcW w:w="2088" w:type="dxa"/>
            <w:tcBorders>
              <w:top w:val="single" w:sz="4" w:space="0" w:color="auto"/>
              <w:bottom w:val="single" w:sz="4" w:space="0" w:color="auto"/>
            </w:tcBorders>
          </w:tcPr>
          <w:p w:rsidR="00A03512" w:rsidRPr="005A7204" w:rsidRDefault="00A03512" w:rsidP="008E54C5">
            <w:r w:rsidRPr="005A7204">
              <w:rPr>
                <w:sz w:val="22"/>
                <w:szCs w:val="22"/>
              </w:rPr>
              <w:t>Lluvia acida</w:t>
            </w:r>
          </w:p>
        </w:tc>
        <w:tc>
          <w:tcPr>
            <w:tcW w:w="1890" w:type="dxa"/>
            <w:tcBorders>
              <w:top w:val="single" w:sz="4" w:space="0" w:color="auto"/>
              <w:bottom w:val="single" w:sz="4" w:space="0" w:color="auto"/>
            </w:tcBorders>
          </w:tcPr>
          <w:p w:rsidR="00A03512" w:rsidRPr="005A7204" w:rsidRDefault="00A03512" w:rsidP="008E54C5">
            <w:r w:rsidRPr="005A7204">
              <w:rPr>
                <w:sz w:val="22"/>
                <w:szCs w:val="22"/>
              </w:rPr>
              <w:t>Traslado de contaminantes por aire desde zonas industriales</w:t>
            </w:r>
          </w:p>
        </w:tc>
        <w:tc>
          <w:tcPr>
            <w:tcW w:w="2790" w:type="dxa"/>
            <w:tcBorders>
              <w:top w:val="single" w:sz="4" w:space="0" w:color="auto"/>
              <w:bottom w:val="single" w:sz="4" w:space="0" w:color="auto"/>
            </w:tcBorders>
          </w:tcPr>
          <w:p w:rsidR="00A03512" w:rsidRPr="005A7204" w:rsidRDefault="00A03512" w:rsidP="008E54C5">
            <w:r w:rsidRPr="005A7204">
              <w:rPr>
                <w:sz w:val="22"/>
                <w:szCs w:val="22"/>
              </w:rPr>
              <w:t>Acidificación de suelo y agua, perdida de especies en sistemas acuáticos, lixiviación de nutrientes</w:t>
            </w:r>
          </w:p>
        </w:tc>
        <w:tc>
          <w:tcPr>
            <w:tcW w:w="2808" w:type="dxa"/>
            <w:tcBorders>
              <w:top w:val="single" w:sz="4" w:space="0" w:color="auto"/>
              <w:bottom w:val="single" w:sz="4" w:space="0" w:color="auto"/>
            </w:tcBorders>
          </w:tcPr>
          <w:p w:rsidR="00A03512" w:rsidRPr="005A7204" w:rsidRDefault="00A03512" w:rsidP="008E54C5">
            <w:r w:rsidRPr="005A7204">
              <w:rPr>
                <w:sz w:val="22"/>
                <w:szCs w:val="22"/>
              </w:rPr>
              <w:t>Partículas suspendidas totales (PST), análisis de polen, análisis de metales pesados, contaminantes orgánicos volátiles (COVs), Colecta y análisis de agua de lluvia, uso de bioindicadores</w:t>
            </w:r>
          </w:p>
        </w:tc>
      </w:tr>
    </w:tbl>
    <w:p w:rsidR="00A03512" w:rsidRDefault="00A03512" w:rsidP="003B71D4">
      <w:pPr>
        <w:spacing w:line="360" w:lineRule="auto"/>
        <w:rPr>
          <w:b/>
          <w:bCs/>
        </w:rPr>
      </w:pPr>
    </w:p>
    <w:p w:rsidR="00A03512" w:rsidRDefault="00A03512" w:rsidP="003B71D4">
      <w:pPr>
        <w:spacing w:line="360" w:lineRule="auto"/>
        <w:rPr>
          <w:b/>
          <w:bCs/>
        </w:rPr>
      </w:pPr>
    </w:p>
    <w:p w:rsidR="00A03512" w:rsidRDefault="00A03512">
      <w:pPr>
        <w:spacing w:after="200" w:line="276" w:lineRule="auto"/>
        <w:rPr>
          <w:b/>
          <w:bCs/>
        </w:rPr>
      </w:pPr>
      <w:r>
        <w:rPr>
          <w:b/>
          <w:bCs/>
        </w:rPr>
        <w:br w:type="page"/>
      </w:r>
    </w:p>
    <w:p w:rsidR="00A03512" w:rsidRDefault="00A03512" w:rsidP="003B71D4">
      <w:pPr>
        <w:spacing w:line="360" w:lineRule="auto"/>
        <w:rPr>
          <w:b/>
          <w:bCs/>
        </w:rPr>
      </w:pPr>
    </w:p>
    <w:p w:rsidR="00A03512" w:rsidRDefault="00A03512" w:rsidP="003B71D4">
      <w:pPr>
        <w:spacing w:line="360" w:lineRule="auto"/>
        <w:rPr>
          <w:b/>
          <w:bCs/>
        </w:rPr>
      </w:pPr>
      <w:r>
        <w:rPr>
          <w:b/>
          <w:bCs/>
        </w:rPr>
        <w:t>Ecosistema Faldeos de la Sierra</w:t>
      </w:r>
    </w:p>
    <w:p w:rsidR="00A03512" w:rsidRDefault="00A03512" w:rsidP="003B71D4">
      <w:pPr>
        <w:spacing w:line="360" w:lineRule="auto"/>
        <w:rPr>
          <w:b/>
          <w:bCs/>
        </w:rPr>
      </w:pPr>
    </w:p>
    <w:tbl>
      <w:tblPr>
        <w:tblW w:w="0" w:type="auto"/>
        <w:tblInd w:w="2" w:type="dxa"/>
        <w:tblLook w:val="00A0"/>
      </w:tblPr>
      <w:tblGrid>
        <w:gridCol w:w="2088"/>
        <w:gridCol w:w="1890"/>
        <w:gridCol w:w="2789"/>
        <w:gridCol w:w="2807"/>
      </w:tblGrid>
      <w:tr w:rsidR="00A03512">
        <w:tc>
          <w:tcPr>
            <w:tcW w:w="2088" w:type="dxa"/>
            <w:tcBorders>
              <w:top w:val="single" w:sz="4" w:space="0" w:color="auto"/>
              <w:bottom w:val="single" w:sz="4" w:space="0" w:color="auto"/>
            </w:tcBorders>
          </w:tcPr>
          <w:p w:rsidR="00A03512" w:rsidRPr="005A7204" w:rsidRDefault="00A03512" w:rsidP="00E93F8A">
            <w:pPr>
              <w:rPr>
                <w:b/>
                <w:bCs/>
              </w:rPr>
            </w:pPr>
            <w:r w:rsidRPr="005A7204">
              <w:rPr>
                <w:b/>
                <w:bCs/>
                <w:sz w:val="22"/>
                <w:szCs w:val="22"/>
              </w:rPr>
              <w:t>Proceso de Degradación</w:t>
            </w:r>
          </w:p>
          <w:p w:rsidR="00A03512" w:rsidRPr="005A7204" w:rsidRDefault="00A03512" w:rsidP="00E93F8A">
            <w:pPr>
              <w:rPr>
                <w:b/>
                <w:bCs/>
                <w:sz w:val="16"/>
                <w:szCs w:val="16"/>
              </w:rPr>
            </w:pPr>
          </w:p>
        </w:tc>
        <w:tc>
          <w:tcPr>
            <w:tcW w:w="1890" w:type="dxa"/>
            <w:tcBorders>
              <w:top w:val="single" w:sz="4" w:space="0" w:color="auto"/>
              <w:bottom w:val="single" w:sz="4" w:space="0" w:color="auto"/>
            </w:tcBorders>
          </w:tcPr>
          <w:p w:rsidR="00A03512" w:rsidRPr="005A7204" w:rsidRDefault="00A03512" w:rsidP="00E93F8A">
            <w:pPr>
              <w:rPr>
                <w:b/>
                <w:bCs/>
              </w:rPr>
            </w:pPr>
            <w:r w:rsidRPr="005A7204">
              <w:rPr>
                <w:b/>
                <w:bCs/>
                <w:sz w:val="22"/>
                <w:szCs w:val="22"/>
              </w:rPr>
              <w:t>Fuente de Estrés</w:t>
            </w:r>
          </w:p>
        </w:tc>
        <w:tc>
          <w:tcPr>
            <w:tcW w:w="2790" w:type="dxa"/>
            <w:tcBorders>
              <w:top w:val="single" w:sz="4" w:space="0" w:color="auto"/>
              <w:bottom w:val="single" w:sz="4" w:space="0" w:color="auto"/>
            </w:tcBorders>
          </w:tcPr>
          <w:p w:rsidR="00A03512" w:rsidRPr="005A7204" w:rsidRDefault="00A03512" w:rsidP="00E93F8A">
            <w:pPr>
              <w:rPr>
                <w:b/>
                <w:bCs/>
              </w:rPr>
            </w:pPr>
            <w:r w:rsidRPr="005A7204">
              <w:rPr>
                <w:b/>
                <w:bCs/>
                <w:sz w:val="22"/>
                <w:szCs w:val="22"/>
              </w:rPr>
              <w:t>Efectos Ecológicos</w:t>
            </w:r>
          </w:p>
        </w:tc>
        <w:tc>
          <w:tcPr>
            <w:tcW w:w="2808" w:type="dxa"/>
            <w:tcBorders>
              <w:top w:val="single" w:sz="4" w:space="0" w:color="auto"/>
              <w:bottom w:val="single" w:sz="4" w:space="0" w:color="auto"/>
            </w:tcBorders>
          </w:tcPr>
          <w:p w:rsidR="00A03512" w:rsidRPr="005A7204" w:rsidRDefault="00A03512" w:rsidP="00E93F8A">
            <w:pPr>
              <w:rPr>
                <w:b/>
                <w:bCs/>
              </w:rPr>
            </w:pPr>
            <w:r w:rsidRPr="005A7204">
              <w:rPr>
                <w:b/>
                <w:bCs/>
                <w:sz w:val="22"/>
                <w:szCs w:val="22"/>
              </w:rPr>
              <w:t>Indicadores Potenciales</w:t>
            </w:r>
          </w:p>
        </w:tc>
      </w:tr>
      <w:tr w:rsidR="00A03512">
        <w:tc>
          <w:tcPr>
            <w:tcW w:w="2088" w:type="dxa"/>
            <w:tcBorders>
              <w:top w:val="single" w:sz="4" w:space="0" w:color="auto"/>
              <w:bottom w:val="single" w:sz="4" w:space="0" w:color="auto"/>
            </w:tcBorders>
          </w:tcPr>
          <w:p w:rsidR="00A03512" w:rsidRPr="005A7204" w:rsidRDefault="00A03512" w:rsidP="00E93F8A">
            <w:r w:rsidRPr="005A7204">
              <w:rPr>
                <w:sz w:val="22"/>
                <w:szCs w:val="22"/>
              </w:rPr>
              <w:t>Erosión del suelo</w:t>
            </w:r>
          </w:p>
        </w:tc>
        <w:tc>
          <w:tcPr>
            <w:tcW w:w="1890" w:type="dxa"/>
            <w:tcBorders>
              <w:top w:val="single" w:sz="4" w:space="0" w:color="auto"/>
              <w:bottom w:val="single" w:sz="4" w:space="0" w:color="auto"/>
            </w:tcBorders>
          </w:tcPr>
          <w:p w:rsidR="00A03512" w:rsidRPr="005A7204" w:rsidRDefault="00A03512" w:rsidP="00E93F8A">
            <w:r w:rsidRPr="005A7204">
              <w:rPr>
                <w:sz w:val="22"/>
                <w:szCs w:val="22"/>
              </w:rPr>
              <w:t>Pastoreo por ganado domestico, extracción de candelilla, eventos de precipitación extremos</w:t>
            </w:r>
          </w:p>
        </w:tc>
        <w:tc>
          <w:tcPr>
            <w:tcW w:w="2790" w:type="dxa"/>
            <w:tcBorders>
              <w:top w:val="single" w:sz="4" w:space="0" w:color="auto"/>
              <w:bottom w:val="single" w:sz="4" w:space="0" w:color="auto"/>
            </w:tcBorders>
          </w:tcPr>
          <w:p w:rsidR="00A03512" w:rsidRPr="005A7204" w:rsidRDefault="00A03512" w:rsidP="00E93F8A">
            <w:r w:rsidRPr="005A7204">
              <w:rPr>
                <w:sz w:val="22"/>
                <w:szCs w:val="22"/>
              </w:rPr>
              <w:t>Cambios en composición y estructura de la vegetación, perdida de la funcionalidad del suelo por compactación, perdida de estabilidad, disminución de la infiltración y fijación del Nitrógeno</w:t>
            </w:r>
          </w:p>
        </w:tc>
        <w:tc>
          <w:tcPr>
            <w:tcW w:w="2808" w:type="dxa"/>
            <w:tcBorders>
              <w:top w:val="single" w:sz="4" w:space="0" w:color="auto"/>
              <w:bottom w:val="single" w:sz="4" w:space="0" w:color="auto"/>
            </w:tcBorders>
          </w:tcPr>
          <w:p w:rsidR="00A03512" w:rsidRPr="005A7204" w:rsidRDefault="00A03512" w:rsidP="00E93F8A">
            <w:r w:rsidRPr="005A7204">
              <w:rPr>
                <w:sz w:val="22"/>
                <w:szCs w:val="22"/>
              </w:rPr>
              <w:t xml:space="preserve">Cantidad de suelo perdido por unidad de superficie, seguimiento de superficies con afloramientos rocosos y de cárcavas, porcentaje de suelo desnudo, volúmenes de extracción de cera de candelilla, seguimiento de la cobertura vegetal </w:t>
            </w:r>
          </w:p>
        </w:tc>
      </w:tr>
      <w:tr w:rsidR="00A03512">
        <w:tc>
          <w:tcPr>
            <w:tcW w:w="2088" w:type="dxa"/>
            <w:tcBorders>
              <w:top w:val="single" w:sz="4" w:space="0" w:color="auto"/>
              <w:bottom w:val="single" w:sz="4" w:space="0" w:color="auto"/>
            </w:tcBorders>
          </w:tcPr>
          <w:p w:rsidR="00A03512" w:rsidRPr="005A7204" w:rsidRDefault="00A03512" w:rsidP="00E93F8A">
            <w:r w:rsidRPr="005A7204">
              <w:rPr>
                <w:sz w:val="22"/>
                <w:szCs w:val="22"/>
              </w:rPr>
              <w:t>Alteración en los flujos de agua en manantiales</w:t>
            </w:r>
          </w:p>
        </w:tc>
        <w:tc>
          <w:tcPr>
            <w:tcW w:w="1890" w:type="dxa"/>
            <w:tcBorders>
              <w:top w:val="single" w:sz="4" w:space="0" w:color="auto"/>
              <w:bottom w:val="single" w:sz="4" w:space="0" w:color="auto"/>
            </w:tcBorders>
          </w:tcPr>
          <w:p w:rsidR="00A03512" w:rsidRPr="005A7204" w:rsidRDefault="00A03512" w:rsidP="00E93F8A">
            <w:r w:rsidRPr="005A7204">
              <w:rPr>
                <w:sz w:val="22"/>
                <w:szCs w:val="22"/>
              </w:rPr>
              <w:t>Extracción de agua para actividades ganaderas</w:t>
            </w:r>
          </w:p>
        </w:tc>
        <w:tc>
          <w:tcPr>
            <w:tcW w:w="2790" w:type="dxa"/>
            <w:tcBorders>
              <w:top w:val="single" w:sz="4" w:space="0" w:color="auto"/>
              <w:bottom w:val="single" w:sz="4" w:space="0" w:color="auto"/>
            </w:tcBorders>
          </w:tcPr>
          <w:p w:rsidR="00A03512" w:rsidRPr="005A7204" w:rsidRDefault="00A03512" w:rsidP="00573313">
            <w:r w:rsidRPr="005A7204">
              <w:rPr>
                <w:sz w:val="22"/>
                <w:szCs w:val="22"/>
              </w:rPr>
              <w:t>Disminución en la humedad disponible en el suelo y transformación de sistemas acuáticos a vegetación terrestre, desaparición de especies asociadas a corrientes de agua, alteración en la disponibilidad de agua para fauna silvestre</w:t>
            </w:r>
          </w:p>
        </w:tc>
        <w:tc>
          <w:tcPr>
            <w:tcW w:w="2808" w:type="dxa"/>
            <w:tcBorders>
              <w:top w:val="single" w:sz="4" w:space="0" w:color="auto"/>
              <w:bottom w:val="single" w:sz="4" w:space="0" w:color="auto"/>
            </w:tcBorders>
          </w:tcPr>
          <w:p w:rsidR="00A03512" w:rsidRPr="005A7204" w:rsidRDefault="00A03512" w:rsidP="00E314F2">
            <w:r w:rsidRPr="005A7204">
              <w:rPr>
                <w:sz w:val="22"/>
                <w:szCs w:val="22"/>
              </w:rPr>
              <w:t>Seguimiento a flujos de agua, cambios en cobertura vegetal asociada a corrientes de agua, seguimiento a especies en sistemas acuáticos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Invasión de especies exóticas</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Actividades agropecuarias, poblaciones de especies exóticas establecidas fuera del COBIO</w:t>
            </w:r>
          </w:p>
        </w:tc>
        <w:tc>
          <w:tcPr>
            <w:tcW w:w="2790" w:type="dxa"/>
            <w:tcBorders>
              <w:top w:val="single" w:sz="4" w:space="0" w:color="auto"/>
              <w:bottom w:val="single" w:sz="4" w:space="0" w:color="auto"/>
            </w:tcBorders>
          </w:tcPr>
          <w:p w:rsidR="00A03512" w:rsidRPr="005A7204" w:rsidRDefault="00A03512" w:rsidP="00CC3119">
            <w:r w:rsidRPr="005A7204">
              <w:rPr>
                <w:sz w:val="22"/>
                <w:szCs w:val="22"/>
              </w:rPr>
              <w:t>Cambios en composición de especies, plantas: alteración en ciclos de nutrientes del suelo, cambios en la estructura de grupos funcionales; animales: perdida de especies nativas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Presencia, distribución y abundancia de especies exóticas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Incendios anómalos de alta frecuencia e intensidad por acumulación de combustibles</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Alteración del régimen de fuego natural por actividades forestales y ganaderas pasadas</w:t>
            </w:r>
          </w:p>
        </w:tc>
        <w:tc>
          <w:tcPr>
            <w:tcW w:w="2790" w:type="dxa"/>
            <w:tcBorders>
              <w:top w:val="single" w:sz="4" w:space="0" w:color="auto"/>
              <w:bottom w:val="single" w:sz="4" w:space="0" w:color="auto"/>
            </w:tcBorders>
          </w:tcPr>
          <w:p w:rsidR="00A03512" w:rsidRPr="005A7204" w:rsidRDefault="00A03512" w:rsidP="00CC3119">
            <w:r w:rsidRPr="005A7204">
              <w:rPr>
                <w:sz w:val="22"/>
                <w:szCs w:val="22"/>
              </w:rPr>
              <w:t>Perdida de integridad ecológica, cambios en la estructura y composición del bosque, aumento en la densidad de arboles jóvenes, y erosión. Aumento en el tamaño de áreas incendiadas, perdida de atributos del suelo por esterilización por calor</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Atributos del régimen de fuego, cambios en la estructura poblacional de especies dominantes, aumento de cargas de combustible, cobertura arborea (DAP), porcentaje de sobrevivencia en el banco de semillas después de incendios</w:t>
            </w:r>
          </w:p>
        </w:tc>
      </w:tr>
      <w:tr w:rsidR="00A03512">
        <w:tc>
          <w:tcPr>
            <w:tcW w:w="2088" w:type="dxa"/>
            <w:tcBorders>
              <w:top w:val="single" w:sz="4" w:space="0" w:color="auto"/>
              <w:bottom w:val="single" w:sz="4" w:space="0" w:color="auto"/>
            </w:tcBorders>
          </w:tcPr>
          <w:p w:rsidR="00A03512" w:rsidRPr="005A7204" w:rsidRDefault="00A03512" w:rsidP="00E93F8A">
            <w:r w:rsidRPr="005A7204">
              <w:rPr>
                <w:sz w:val="22"/>
                <w:szCs w:val="22"/>
              </w:rPr>
              <w:t>Lluvia acida</w:t>
            </w:r>
          </w:p>
        </w:tc>
        <w:tc>
          <w:tcPr>
            <w:tcW w:w="1890" w:type="dxa"/>
            <w:tcBorders>
              <w:top w:val="single" w:sz="4" w:space="0" w:color="auto"/>
              <w:bottom w:val="single" w:sz="4" w:space="0" w:color="auto"/>
            </w:tcBorders>
          </w:tcPr>
          <w:p w:rsidR="00A03512" w:rsidRPr="005A7204" w:rsidRDefault="00A03512" w:rsidP="00E93F8A">
            <w:r w:rsidRPr="005A7204">
              <w:rPr>
                <w:sz w:val="22"/>
                <w:szCs w:val="22"/>
              </w:rPr>
              <w:t>Traslado de contaminantes por aire desde zonas industriales</w:t>
            </w:r>
          </w:p>
        </w:tc>
        <w:tc>
          <w:tcPr>
            <w:tcW w:w="2790" w:type="dxa"/>
            <w:tcBorders>
              <w:top w:val="single" w:sz="4" w:space="0" w:color="auto"/>
              <w:bottom w:val="single" w:sz="4" w:space="0" w:color="auto"/>
            </w:tcBorders>
          </w:tcPr>
          <w:p w:rsidR="00A03512" w:rsidRPr="005A7204" w:rsidRDefault="00A03512" w:rsidP="00E93F8A">
            <w:r w:rsidRPr="005A7204">
              <w:rPr>
                <w:sz w:val="22"/>
                <w:szCs w:val="22"/>
              </w:rPr>
              <w:t>Acidificación de suelo y agua, perdida de especies en sistemas acuáticos, lixiviación de nutrientes</w:t>
            </w:r>
          </w:p>
        </w:tc>
        <w:tc>
          <w:tcPr>
            <w:tcW w:w="2808" w:type="dxa"/>
            <w:tcBorders>
              <w:top w:val="single" w:sz="4" w:space="0" w:color="auto"/>
              <w:bottom w:val="single" w:sz="4" w:space="0" w:color="auto"/>
            </w:tcBorders>
          </w:tcPr>
          <w:p w:rsidR="00A03512" w:rsidRPr="005A7204" w:rsidRDefault="00A03512" w:rsidP="00E93F8A">
            <w:r w:rsidRPr="005A7204">
              <w:rPr>
                <w:sz w:val="22"/>
                <w:szCs w:val="22"/>
              </w:rPr>
              <w:t>Partículas suspendidas totales (PST), análisis de polen, análisis de metales pesados, contaminantes orgánicos volátiles (COVs), Colecta y análisis de agua de lluvia, uso de bioindicadores</w:t>
            </w:r>
          </w:p>
        </w:tc>
      </w:tr>
    </w:tbl>
    <w:p w:rsidR="00A03512" w:rsidRDefault="00A03512">
      <w:pPr>
        <w:spacing w:after="200" w:line="276" w:lineRule="auto"/>
        <w:rPr>
          <w:b/>
          <w:bCs/>
        </w:rPr>
      </w:pPr>
    </w:p>
    <w:p w:rsidR="00A03512" w:rsidRDefault="00A03512" w:rsidP="003B71D4">
      <w:pPr>
        <w:spacing w:line="360" w:lineRule="auto"/>
        <w:rPr>
          <w:b/>
          <w:bCs/>
        </w:rPr>
      </w:pPr>
      <w:r>
        <w:rPr>
          <w:b/>
          <w:bCs/>
        </w:rPr>
        <w:t>Ecosistema de Pastizales</w:t>
      </w:r>
    </w:p>
    <w:p w:rsidR="00A03512" w:rsidRDefault="00A03512" w:rsidP="003B71D4">
      <w:pPr>
        <w:spacing w:line="360" w:lineRule="auto"/>
        <w:rPr>
          <w:b/>
          <w:bCs/>
        </w:rPr>
      </w:pPr>
    </w:p>
    <w:tbl>
      <w:tblPr>
        <w:tblW w:w="0" w:type="auto"/>
        <w:tblInd w:w="2" w:type="dxa"/>
        <w:tblLook w:val="00A0"/>
      </w:tblPr>
      <w:tblGrid>
        <w:gridCol w:w="2088"/>
        <w:gridCol w:w="1890"/>
        <w:gridCol w:w="2789"/>
        <w:gridCol w:w="2807"/>
      </w:tblGrid>
      <w:tr w:rsidR="00A03512">
        <w:tc>
          <w:tcPr>
            <w:tcW w:w="208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Proceso de Degradación</w:t>
            </w:r>
          </w:p>
          <w:p w:rsidR="00A03512" w:rsidRPr="005A7204" w:rsidRDefault="00A03512" w:rsidP="00CC3119">
            <w:pPr>
              <w:rPr>
                <w:b/>
                <w:bCs/>
                <w:sz w:val="16"/>
                <w:szCs w:val="16"/>
              </w:rPr>
            </w:pPr>
          </w:p>
        </w:tc>
        <w:tc>
          <w:tcPr>
            <w:tcW w:w="18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Fuente de Estrés</w:t>
            </w:r>
          </w:p>
        </w:tc>
        <w:tc>
          <w:tcPr>
            <w:tcW w:w="27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Efectos Ecológicos</w:t>
            </w:r>
          </w:p>
        </w:tc>
        <w:tc>
          <w:tcPr>
            <w:tcW w:w="280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Indicadores Potenciales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Erosión del suelo</w:t>
            </w:r>
          </w:p>
        </w:tc>
        <w:tc>
          <w:tcPr>
            <w:tcW w:w="1890" w:type="dxa"/>
            <w:tcBorders>
              <w:top w:val="single" w:sz="4" w:space="0" w:color="auto"/>
              <w:bottom w:val="single" w:sz="4" w:space="0" w:color="auto"/>
            </w:tcBorders>
          </w:tcPr>
          <w:p w:rsidR="00A03512" w:rsidRPr="005A7204" w:rsidRDefault="00A03512" w:rsidP="001C1CEF">
            <w:r w:rsidRPr="005A7204">
              <w:rPr>
                <w:sz w:val="22"/>
                <w:szCs w:val="22"/>
              </w:rPr>
              <w:t>Sobrepastoreo por ganado domestico;  eventos de precipitación extremos, sequias, y aumentos de CO</w:t>
            </w:r>
            <w:r w:rsidRPr="005A7204">
              <w:rPr>
                <w:sz w:val="22"/>
                <w:szCs w:val="22"/>
                <w:vertAlign w:val="subscript"/>
              </w:rPr>
              <w:t>2</w:t>
            </w:r>
            <w:r w:rsidRPr="005A7204">
              <w:rPr>
                <w:sz w:val="22"/>
                <w:szCs w:val="22"/>
              </w:rPr>
              <w:t xml:space="preserve"> en la atmosfera por cambio climático</w:t>
            </w:r>
          </w:p>
        </w:tc>
        <w:tc>
          <w:tcPr>
            <w:tcW w:w="2790" w:type="dxa"/>
            <w:tcBorders>
              <w:top w:val="single" w:sz="4" w:space="0" w:color="auto"/>
              <w:bottom w:val="single" w:sz="4" w:space="0" w:color="auto"/>
            </w:tcBorders>
          </w:tcPr>
          <w:p w:rsidR="00A03512" w:rsidRPr="005A7204" w:rsidRDefault="00A03512" w:rsidP="00B47CD5">
            <w:r w:rsidRPr="005A7204">
              <w:rPr>
                <w:sz w:val="22"/>
                <w:szCs w:val="22"/>
              </w:rPr>
              <w:t>Movimiento de capa superficial del suelo, aparición y aumento de cárcavas, perdida de estabilidad, y disminución de la infiltración</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 xml:space="preserve">Cantidad de suelo perdido por unidad de superficie, seguimiento de superficies con afloramientos rocosos y de cárcavas, porcentaje de suelo desnudo, volúmenes de extracción de cera de candelilla, seguimiento de la cobertura vegetal </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Invasión de arbustivas</w:t>
            </w:r>
          </w:p>
        </w:tc>
        <w:tc>
          <w:tcPr>
            <w:tcW w:w="1890" w:type="dxa"/>
            <w:tcBorders>
              <w:top w:val="single" w:sz="4" w:space="0" w:color="auto"/>
              <w:bottom w:val="single" w:sz="4" w:space="0" w:color="auto"/>
            </w:tcBorders>
          </w:tcPr>
          <w:p w:rsidR="00A03512" w:rsidRPr="005A7204" w:rsidRDefault="00A03512" w:rsidP="001C1CEF">
            <w:r w:rsidRPr="005A7204">
              <w:rPr>
                <w:sz w:val="22"/>
                <w:szCs w:val="22"/>
              </w:rPr>
              <w:t>Sobrepastoreo por ganado domestico, alteración en régimen de incendios, y aumentos de CO</w:t>
            </w:r>
            <w:r w:rsidRPr="005A7204">
              <w:rPr>
                <w:sz w:val="22"/>
                <w:szCs w:val="22"/>
                <w:vertAlign w:val="subscript"/>
              </w:rPr>
              <w:t>2</w:t>
            </w:r>
            <w:r w:rsidRPr="005A7204">
              <w:rPr>
                <w:sz w:val="22"/>
                <w:szCs w:val="22"/>
              </w:rPr>
              <w:t xml:space="preserve"> en la atmosfera por cambio climático</w:t>
            </w:r>
          </w:p>
        </w:tc>
        <w:tc>
          <w:tcPr>
            <w:tcW w:w="2790" w:type="dxa"/>
            <w:tcBorders>
              <w:top w:val="single" w:sz="4" w:space="0" w:color="auto"/>
              <w:bottom w:val="single" w:sz="4" w:space="0" w:color="auto"/>
            </w:tcBorders>
          </w:tcPr>
          <w:p w:rsidR="00A03512" w:rsidRPr="005A7204" w:rsidRDefault="00A03512" w:rsidP="001C1CEF">
            <w:r w:rsidRPr="005A7204">
              <w:rPr>
                <w:sz w:val="22"/>
                <w:szCs w:val="22"/>
              </w:rPr>
              <w:t>Cambios en composición y estructura de la vegetación, compactación del suelo, alteración en ciclos hidrológicos y de nutrientes en el suelo, incremento de suelo desnudo, y perdida de fertilidad del suelo</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Monitoreo de cargas animales, seguimiento de la cobertura vegetal y especies clave, seguimiento de la capa de suelo fértil</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Invasión de especies exóticas</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Actividades agropecuarias, poblaciones de especies exóticas establecidas fuera del COBIO</w:t>
            </w:r>
          </w:p>
        </w:tc>
        <w:tc>
          <w:tcPr>
            <w:tcW w:w="2790" w:type="dxa"/>
            <w:tcBorders>
              <w:top w:val="single" w:sz="4" w:space="0" w:color="auto"/>
              <w:bottom w:val="single" w:sz="4" w:space="0" w:color="auto"/>
            </w:tcBorders>
          </w:tcPr>
          <w:p w:rsidR="00A03512" w:rsidRPr="005A7204" w:rsidRDefault="00A03512" w:rsidP="00CC3119">
            <w:r w:rsidRPr="005A7204">
              <w:rPr>
                <w:sz w:val="22"/>
                <w:szCs w:val="22"/>
              </w:rPr>
              <w:t>Cambios en composición de especies, plantas: alteración en ciclos de nutrientes del suelo, cambios en la estructura de grupos funcionales; animales: perdida de especies nativas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Presencia, distribución y abundancia de especies exóticas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Lluvia acida</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Traslado de contaminantes por aire desde zonas industriales</w:t>
            </w:r>
          </w:p>
        </w:tc>
        <w:tc>
          <w:tcPr>
            <w:tcW w:w="2790" w:type="dxa"/>
            <w:tcBorders>
              <w:top w:val="single" w:sz="4" w:space="0" w:color="auto"/>
              <w:bottom w:val="single" w:sz="4" w:space="0" w:color="auto"/>
            </w:tcBorders>
          </w:tcPr>
          <w:p w:rsidR="00A03512" w:rsidRPr="005A7204" w:rsidRDefault="00A03512" w:rsidP="00F164F6">
            <w:r w:rsidRPr="005A7204">
              <w:rPr>
                <w:sz w:val="22"/>
                <w:szCs w:val="22"/>
              </w:rPr>
              <w:t>Acidificación de suelos y lixiviación de nutrientes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Partículas suspendidas totales (PST), análisis de polen, análisis de metales pesados, contaminantes orgánicos volátiles (COVs), Colecta y análisis de agua de lluvia, uso de bioindicadores</w:t>
            </w:r>
          </w:p>
        </w:tc>
      </w:tr>
    </w:tbl>
    <w:p w:rsidR="00A03512" w:rsidRDefault="00A03512">
      <w:pPr>
        <w:spacing w:after="200" w:line="276" w:lineRule="auto"/>
        <w:rPr>
          <w:b/>
          <w:bCs/>
        </w:rPr>
      </w:pPr>
      <w:r>
        <w:rPr>
          <w:b/>
          <w:bCs/>
        </w:rPr>
        <w:br w:type="page"/>
      </w:r>
    </w:p>
    <w:p w:rsidR="00A03512" w:rsidRDefault="00A03512" w:rsidP="00F164F6">
      <w:pPr>
        <w:spacing w:line="360" w:lineRule="auto"/>
        <w:rPr>
          <w:b/>
          <w:bCs/>
        </w:rPr>
      </w:pPr>
      <w:r>
        <w:rPr>
          <w:b/>
          <w:bCs/>
        </w:rPr>
        <w:t>Ecosistema de Desierto</w:t>
      </w:r>
    </w:p>
    <w:p w:rsidR="00A03512" w:rsidRDefault="00A03512" w:rsidP="00F164F6">
      <w:pPr>
        <w:spacing w:line="360" w:lineRule="auto"/>
        <w:rPr>
          <w:b/>
          <w:bCs/>
        </w:rPr>
      </w:pPr>
    </w:p>
    <w:tbl>
      <w:tblPr>
        <w:tblW w:w="0" w:type="auto"/>
        <w:tblInd w:w="2" w:type="dxa"/>
        <w:tblLook w:val="00A0"/>
      </w:tblPr>
      <w:tblGrid>
        <w:gridCol w:w="2088"/>
        <w:gridCol w:w="1890"/>
        <w:gridCol w:w="2789"/>
        <w:gridCol w:w="2807"/>
      </w:tblGrid>
      <w:tr w:rsidR="00A03512">
        <w:tc>
          <w:tcPr>
            <w:tcW w:w="208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Proceso de Degradación</w:t>
            </w:r>
          </w:p>
          <w:p w:rsidR="00A03512" w:rsidRPr="005A7204" w:rsidRDefault="00A03512" w:rsidP="00CC3119">
            <w:pPr>
              <w:rPr>
                <w:b/>
                <w:bCs/>
                <w:sz w:val="16"/>
                <w:szCs w:val="16"/>
              </w:rPr>
            </w:pPr>
          </w:p>
        </w:tc>
        <w:tc>
          <w:tcPr>
            <w:tcW w:w="18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Fuente de Estrés</w:t>
            </w:r>
          </w:p>
        </w:tc>
        <w:tc>
          <w:tcPr>
            <w:tcW w:w="27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Efectos Ecológicos</w:t>
            </w:r>
          </w:p>
        </w:tc>
        <w:tc>
          <w:tcPr>
            <w:tcW w:w="280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Indicadores Potenciales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Erosión del suelo</w:t>
            </w:r>
          </w:p>
        </w:tc>
        <w:tc>
          <w:tcPr>
            <w:tcW w:w="1890" w:type="dxa"/>
            <w:tcBorders>
              <w:top w:val="single" w:sz="4" w:space="0" w:color="auto"/>
              <w:bottom w:val="single" w:sz="4" w:space="0" w:color="auto"/>
            </w:tcBorders>
          </w:tcPr>
          <w:p w:rsidR="00A03512" w:rsidRPr="005A7204" w:rsidRDefault="00A03512" w:rsidP="00590C31">
            <w:r w:rsidRPr="005A7204">
              <w:rPr>
                <w:sz w:val="22"/>
                <w:szCs w:val="22"/>
              </w:rPr>
              <w:t>Pastoreo por ganado domestico y agricultura; extracción de candelilla;  eventos de precipitación extremos, sequias, y aumentos de CO</w:t>
            </w:r>
            <w:r w:rsidRPr="005A7204">
              <w:rPr>
                <w:sz w:val="22"/>
                <w:szCs w:val="22"/>
                <w:vertAlign w:val="subscript"/>
              </w:rPr>
              <w:t>2</w:t>
            </w:r>
            <w:r w:rsidRPr="005A7204">
              <w:rPr>
                <w:sz w:val="22"/>
                <w:szCs w:val="22"/>
              </w:rPr>
              <w:t xml:space="preserve"> en la atmosfera por cambio climático</w:t>
            </w:r>
          </w:p>
        </w:tc>
        <w:tc>
          <w:tcPr>
            <w:tcW w:w="2790" w:type="dxa"/>
            <w:tcBorders>
              <w:top w:val="single" w:sz="4" w:space="0" w:color="auto"/>
              <w:bottom w:val="single" w:sz="4" w:space="0" w:color="auto"/>
            </w:tcBorders>
          </w:tcPr>
          <w:p w:rsidR="00A03512" w:rsidRPr="005A7204" w:rsidRDefault="00A03512" w:rsidP="00590C31">
            <w:r w:rsidRPr="005A7204">
              <w:rPr>
                <w:sz w:val="22"/>
                <w:szCs w:val="22"/>
              </w:rPr>
              <w:t>Movimiento de capa superficial del suelo, perdida de estabilidad y funcionalidad del suelo, disminución de la infiltración,  aparición y aumento de cárcavas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 xml:space="preserve">Cantidad de suelo perdido por unidad de superficie, seguimiento de superficies con afloramientos rocosos y de cárcavas, porcentaje de suelo desnudo, volúmenes de extracción de cera de candelilla, seguimiento de la cobertura vegetal </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Invasión de arbustivas y especies toxicas</w:t>
            </w:r>
          </w:p>
        </w:tc>
        <w:tc>
          <w:tcPr>
            <w:tcW w:w="1890" w:type="dxa"/>
            <w:tcBorders>
              <w:top w:val="single" w:sz="4" w:space="0" w:color="auto"/>
              <w:bottom w:val="single" w:sz="4" w:space="0" w:color="auto"/>
            </w:tcBorders>
          </w:tcPr>
          <w:p w:rsidR="00A03512" w:rsidRPr="005A7204" w:rsidRDefault="00A03512" w:rsidP="00A505C2">
            <w:r w:rsidRPr="005A7204">
              <w:rPr>
                <w:sz w:val="22"/>
                <w:szCs w:val="22"/>
              </w:rPr>
              <w:t>Sobrepastoreo por ganado domestico, sequias y aumentos de CO</w:t>
            </w:r>
            <w:r w:rsidRPr="005A7204">
              <w:rPr>
                <w:sz w:val="22"/>
                <w:szCs w:val="22"/>
                <w:vertAlign w:val="subscript"/>
              </w:rPr>
              <w:t>2</w:t>
            </w:r>
            <w:r w:rsidRPr="005A7204">
              <w:rPr>
                <w:sz w:val="22"/>
                <w:szCs w:val="22"/>
              </w:rPr>
              <w:t xml:space="preserve"> en la atmosfera por cambio climático</w:t>
            </w:r>
          </w:p>
        </w:tc>
        <w:tc>
          <w:tcPr>
            <w:tcW w:w="2790" w:type="dxa"/>
            <w:tcBorders>
              <w:top w:val="single" w:sz="4" w:space="0" w:color="auto"/>
              <w:bottom w:val="single" w:sz="4" w:space="0" w:color="auto"/>
            </w:tcBorders>
          </w:tcPr>
          <w:p w:rsidR="00A03512" w:rsidRPr="005A7204" w:rsidRDefault="00A03512" w:rsidP="00BC2E72">
            <w:r w:rsidRPr="005A7204">
              <w:rPr>
                <w:sz w:val="22"/>
                <w:szCs w:val="22"/>
              </w:rPr>
              <w:t>Cambios en composición y estructura de la vegetación, aumento en superficie de suelo desnudo, alteración en ciclos hidrológicos y de nutrientes en el suelo, y perdida de fertilidad del suelo</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Monitoreo de cargas animales, seguimiento de la cobertura vegetal y suelo desnudo, seguimiento de especies de plantas clave (palatables, arbustivas, toxicas), seguimiento de la capa de suelo fértil</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Invasión de especies exóticas</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Actividades agropecuarias, poblaciones de especies exóticas establecidas dentro y fuera del COBIO</w:t>
            </w:r>
          </w:p>
        </w:tc>
        <w:tc>
          <w:tcPr>
            <w:tcW w:w="2790" w:type="dxa"/>
            <w:tcBorders>
              <w:top w:val="single" w:sz="4" w:space="0" w:color="auto"/>
              <w:bottom w:val="single" w:sz="4" w:space="0" w:color="auto"/>
            </w:tcBorders>
          </w:tcPr>
          <w:p w:rsidR="00A03512" w:rsidRPr="005A7204" w:rsidRDefault="00A03512" w:rsidP="00CC3119">
            <w:r w:rsidRPr="005A7204">
              <w:rPr>
                <w:sz w:val="22"/>
                <w:szCs w:val="22"/>
              </w:rPr>
              <w:t>Cambios en composición de especies, plantas: alteración en ciclos de nutrientes del suelo, cambios en la estructura de grupos funcionales; animales: perdida de especies nativas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Inventarios biológicos, seguimiento a especies exóticas ya identificadas en el COBIO y detección temprana de nuevas</w:t>
            </w:r>
          </w:p>
        </w:tc>
      </w:tr>
      <w:tr w:rsidR="00A03512">
        <w:tc>
          <w:tcPr>
            <w:tcW w:w="2088" w:type="dxa"/>
            <w:tcBorders>
              <w:top w:val="single" w:sz="4" w:space="0" w:color="auto"/>
              <w:bottom w:val="single" w:sz="4" w:space="0" w:color="auto"/>
            </w:tcBorders>
          </w:tcPr>
          <w:p w:rsidR="00A03512" w:rsidRPr="005A7204" w:rsidRDefault="00A03512" w:rsidP="00CC3119">
            <w:r w:rsidRPr="005A7204">
              <w:rPr>
                <w:sz w:val="22"/>
                <w:szCs w:val="22"/>
              </w:rPr>
              <w:t>Lluvia acida</w:t>
            </w:r>
          </w:p>
        </w:tc>
        <w:tc>
          <w:tcPr>
            <w:tcW w:w="1890" w:type="dxa"/>
            <w:tcBorders>
              <w:top w:val="single" w:sz="4" w:space="0" w:color="auto"/>
              <w:bottom w:val="single" w:sz="4" w:space="0" w:color="auto"/>
            </w:tcBorders>
          </w:tcPr>
          <w:p w:rsidR="00A03512" w:rsidRPr="005A7204" w:rsidRDefault="00A03512" w:rsidP="00CC3119">
            <w:r w:rsidRPr="005A7204">
              <w:rPr>
                <w:sz w:val="22"/>
                <w:szCs w:val="22"/>
              </w:rPr>
              <w:t>Traslado de contaminantes por aire desde zonas industriales</w:t>
            </w:r>
          </w:p>
        </w:tc>
        <w:tc>
          <w:tcPr>
            <w:tcW w:w="2790" w:type="dxa"/>
            <w:tcBorders>
              <w:top w:val="single" w:sz="4" w:space="0" w:color="auto"/>
              <w:bottom w:val="single" w:sz="4" w:space="0" w:color="auto"/>
            </w:tcBorders>
          </w:tcPr>
          <w:p w:rsidR="00A03512" w:rsidRPr="005A7204" w:rsidRDefault="00A03512" w:rsidP="00CC3119">
            <w:r w:rsidRPr="005A7204">
              <w:rPr>
                <w:sz w:val="22"/>
                <w:szCs w:val="22"/>
              </w:rPr>
              <w:t>Acidificación de suelo y agua, lixiviación de nutrientes</w:t>
            </w:r>
          </w:p>
        </w:tc>
        <w:tc>
          <w:tcPr>
            <w:tcW w:w="2808" w:type="dxa"/>
            <w:tcBorders>
              <w:top w:val="single" w:sz="4" w:space="0" w:color="auto"/>
              <w:bottom w:val="single" w:sz="4" w:space="0" w:color="auto"/>
            </w:tcBorders>
          </w:tcPr>
          <w:p w:rsidR="00A03512" w:rsidRPr="005A7204" w:rsidRDefault="00A03512" w:rsidP="00CC3119">
            <w:r w:rsidRPr="005A7204">
              <w:rPr>
                <w:sz w:val="22"/>
                <w:szCs w:val="22"/>
              </w:rPr>
              <w:t>Partículas suspendidas totales (PST), análisis de polen, análisis de metales pesados, contaminantes orgánicos volátiles (COVs), Colecta y análisis de agua de lluvia, uso de bioindicadores</w:t>
            </w:r>
          </w:p>
        </w:tc>
      </w:tr>
    </w:tbl>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F164F6">
      <w:pPr>
        <w:spacing w:line="360" w:lineRule="auto"/>
        <w:rPr>
          <w:b/>
          <w:bCs/>
        </w:rPr>
      </w:pPr>
    </w:p>
    <w:p w:rsidR="00A03512" w:rsidRDefault="00A03512" w:rsidP="001440AD">
      <w:pPr>
        <w:spacing w:line="360" w:lineRule="auto"/>
        <w:rPr>
          <w:b/>
          <w:bCs/>
        </w:rPr>
      </w:pPr>
      <w:r>
        <w:rPr>
          <w:b/>
          <w:bCs/>
        </w:rPr>
        <w:t>Ecosistema del Rio Bravo</w:t>
      </w:r>
    </w:p>
    <w:p w:rsidR="00A03512" w:rsidRDefault="00A03512" w:rsidP="001440AD">
      <w:pPr>
        <w:spacing w:line="360" w:lineRule="auto"/>
        <w:rPr>
          <w:b/>
          <w:bCs/>
        </w:rPr>
      </w:pPr>
    </w:p>
    <w:tbl>
      <w:tblPr>
        <w:tblW w:w="0" w:type="auto"/>
        <w:tblInd w:w="2" w:type="dxa"/>
        <w:tblLook w:val="00A0"/>
      </w:tblPr>
      <w:tblGrid>
        <w:gridCol w:w="2088"/>
        <w:gridCol w:w="1890"/>
        <w:gridCol w:w="2789"/>
        <w:gridCol w:w="2807"/>
      </w:tblGrid>
      <w:tr w:rsidR="00A03512">
        <w:tc>
          <w:tcPr>
            <w:tcW w:w="208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Proceso de Degradación</w:t>
            </w:r>
          </w:p>
          <w:p w:rsidR="00A03512" w:rsidRPr="005A7204" w:rsidRDefault="00A03512" w:rsidP="00CC3119">
            <w:pPr>
              <w:rPr>
                <w:b/>
                <w:bCs/>
                <w:sz w:val="16"/>
                <w:szCs w:val="16"/>
              </w:rPr>
            </w:pPr>
          </w:p>
        </w:tc>
        <w:tc>
          <w:tcPr>
            <w:tcW w:w="18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Fuente de Estrés</w:t>
            </w:r>
          </w:p>
        </w:tc>
        <w:tc>
          <w:tcPr>
            <w:tcW w:w="2790"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Efectos Ecológicos</w:t>
            </w:r>
          </w:p>
        </w:tc>
        <w:tc>
          <w:tcPr>
            <w:tcW w:w="2808" w:type="dxa"/>
            <w:tcBorders>
              <w:top w:val="single" w:sz="4" w:space="0" w:color="auto"/>
              <w:bottom w:val="single" w:sz="4" w:space="0" w:color="auto"/>
            </w:tcBorders>
          </w:tcPr>
          <w:p w:rsidR="00A03512" w:rsidRPr="005A7204" w:rsidRDefault="00A03512" w:rsidP="00CC3119">
            <w:pPr>
              <w:rPr>
                <w:b/>
                <w:bCs/>
              </w:rPr>
            </w:pPr>
            <w:r w:rsidRPr="005A7204">
              <w:rPr>
                <w:b/>
                <w:bCs/>
                <w:sz w:val="22"/>
                <w:szCs w:val="22"/>
              </w:rPr>
              <w:t>Indicadores Potenciales</w:t>
            </w:r>
          </w:p>
        </w:tc>
      </w:tr>
      <w:tr w:rsidR="00A03512">
        <w:tc>
          <w:tcPr>
            <w:tcW w:w="2088" w:type="dxa"/>
            <w:tcBorders>
              <w:top w:val="single" w:sz="4" w:space="0" w:color="auto"/>
              <w:bottom w:val="single" w:sz="4" w:space="0" w:color="auto"/>
            </w:tcBorders>
          </w:tcPr>
          <w:p w:rsidR="00A03512" w:rsidRPr="005A7204" w:rsidRDefault="00A03512" w:rsidP="005D4FC8">
            <w:r w:rsidRPr="005A7204">
              <w:rPr>
                <w:sz w:val="22"/>
                <w:szCs w:val="22"/>
              </w:rPr>
              <w:t>Disminución en los flujos de agua</w:t>
            </w:r>
          </w:p>
        </w:tc>
        <w:tc>
          <w:tcPr>
            <w:tcW w:w="1890" w:type="dxa"/>
            <w:tcBorders>
              <w:top w:val="single" w:sz="4" w:space="0" w:color="auto"/>
              <w:bottom w:val="single" w:sz="4" w:space="0" w:color="auto"/>
            </w:tcBorders>
          </w:tcPr>
          <w:p w:rsidR="00A03512" w:rsidRPr="005A7204" w:rsidRDefault="00A03512" w:rsidP="005D4FC8">
            <w:r w:rsidRPr="005A7204">
              <w:rPr>
                <w:sz w:val="22"/>
                <w:szCs w:val="22"/>
              </w:rPr>
              <w:t>Presas, uso de agua para agricultura, cambio climático</w:t>
            </w:r>
          </w:p>
        </w:tc>
        <w:tc>
          <w:tcPr>
            <w:tcW w:w="2790" w:type="dxa"/>
            <w:tcBorders>
              <w:top w:val="single" w:sz="4" w:space="0" w:color="auto"/>
              <w:bottom w:val="single" w:sz="4" w:space="0" w:color="auto"/>
            </w:tcBorders>
          </w:tcPr>
          <w:p w:rsidR="00A03512" w:rsidRPr="005A7204" w:rsidRDefault="00A03512" w:rsidP="005D4FC8">
            <w:r w:rsidRPr="005A7204">
              <w:rPr>
                <w:sz w:val="22"/>
                <w:szCs w:val="22"/>
              </w:rPr>
              <w:t>Aumento de la salinidad del agua del rio; cambios en la estructura del hábitat acuático por la disminución en la variabilidad de flujos, y aumentos en sedimentación; disminución de poblaciones y/o desaparición de especies acuáticas</w:t>
            </w:r>
          </w:p>
        </w:tc>
        <w:tc>
          <w:tcPr>
            <w:tcW w:w="2808" w:type="dxa"/>
            <w:tcBorders>
              <w:top w:val="single" w:sz="4" w:space="0" w:color="auto"/>
              <w:bottom w:val="single" w:sz="4" w:space="0" w:color="auto"/>
            </w:tcBorders>
          </w:tcPr>
          <w:p w:rsidR="00A03512" w:rsidRPr="005A7204" w:rsidRDefault="00A03512" w:rsidP="005D4FC8">
            <w:r w:rsidRPr="005A7204">
              <w:rPr>
                <w:sz w:val="22"/>
                <w:szCs w:val="22"/>
              </w:rPr>
              <w:t>Tasa de flujos de agua, seguimiento de parámetros climáticos (temperatura y precipitación), monitoreo de especies acuáticas clave, seguimiento a la formación de islas y vegetación dentro del cause</w:t>
            </w:r>
          </w:p>
        </w:tc>
      </w:tr>
      <w:tr w:rsidR="00A03512">
        <w:tc>
          <w:tcPr>
            <w:tcW w:w="2088" w:type="dxa"/>
            <w:tcBorders>
              <w:top w:val="single" w:sz="4" w:space="0" w:color="auto"/>
              <w:bottom w:val="single" w:sz="4" w:space="0" w:color="auto"/>
            </w:tcBorders>
          </w:tcPr>
          <w:p w:rsidR="00A03512" w:rsidRPr="005A7204" w:rsidRDefault="00A03512" w:rsidP="005D4FC8">
            <w:r w:rsidRPr="005A7204">
              <w:rPr>
                <w:sz w:val="22"/>
                <w:szCs w:val="22"/>
              </w:rPr>
              <w:t>Erosión de bancos del rio</w:t>
            </w:r>
          </w:p>
        </w:tc>
        <w:tc>
          <w:tcPr>
            <w:tcW w:w="1890" w:type="dxa"/>
            <w:tcBorders>
              <w:top w:val="single" w:sz="4" w:space="0" w:color="auto"/>
              <w:bottom w:val="single" w:sz="4" w:space="0" w:color="auto"/>
            </w:tcBorders>
          </w:tcPr>
          <w:p w:rsidR="00A03512" w:rsidRPr="005A7204" w:rsidRDefault="00A03512" w:rsidP="005D4FC8">
            <w:r w:rsidRPr="005A7204">
              <w:rPr>
                <w:sz w:val="22"/>
                <w:szCs w:val="22"/>
              </w:rPr>
              <w:t>Pastoreo por ganado domestico, extracción de candelilla</w:t>
            </w:r>
          </w:p>
        </w:tc>
        <w:tc>
          <w:tcPr>
            <w:tcW w:w="2790" w:type="dxa"/>
            <w:tcBorders>
              <w:top w:val="single" w:sz="4" w:space="0" w:color="auto"/>
              <w:bottom w:val="single" w:sz="4" w:space="0" w:color="auto"/>
            </w:tcBorders>
          </w:tcPr>
          <w:p w:rsidR="00A03512" w:rsidRPr="005A7204" w:rsidRDefault="00A03512" w:rsidP="005D4FC8">
            <w:r w:rsidRPr="005A7204">
              <w:rPr>
                <w:sz w:val="22"/>
                <w:szCs w:val="22"/>
              </w:rPr>
              <w:t>Perdida de la estabilidad de los bancos, cambios en la estructura de hábitats riparios</w:t>
            </w:r>
          </w:p>
        </w:tc>
        <w:tc>
          <w:tcPr>
            <w:tcW w:w="2808" w:type="dxa"/>
            <w:tcBorders>
              <w:top w:val="single" w:sz="4" w:space="0" w:color="auto"/>
              <w:bottom w:val="single" w:sz="4" w:space="0" w:color="auto"/>
            </w:tcBorders>
          </w:tcPr>
          <w:p w:rsidR="00A03512" w:rsidRPr="005A7204" w:rsidRDefault="00A03512" w:rsidP="005D4FC8">
            <w:r w:rsidRPr="005A7204">
              <w:rPr>
                <w:sz w:val="22"/>
                <w:szCs w:val="22"/>
              </w:rPr>
              <w:t xml:space="preserve">Seguimiento de la estructura física de zonas de rio con bancos definidos </w:t>
            </w:r>
          </w:p>
        </w:tc>
      </w:tr>
      <w:tr w:rsidR="00A03512">
        <w:tc>
          <w:tcPr>
            <w:tcW w:w="2088" w:type="dxa"/>
            <w:tcBorders>
              <w:top w:val="single" w:sz="4" w:space="0" w:color="auto"/>
              <w:bottom w:val="single" w:sz="4" w:space="0" w:color="auto"/>
            </w:tcBorders>
          </w:tcPr>
          <w:p w:rsidR="00A03512" w:rsidRPr="005A7204" w:rsidRDefault="00A03512" w:rsidP="008F4AE3">
            <w:r w:rsidRPr="005A7204">
              <w:rPr>
                <w:sz w:val="22"/>
                <w:szCs w:val="22"/>
              </w:rPr>
              <w:t xml:space="preserve">Contaminación </w:t>
            </w:r>
          </w:p>
        </w:tc>
        <w:tc>
          <w:tcPr>
            <w:tcW w:w="1890" w:type="dxa"/>
            <w:tcBorders>
              <w:top w:val="single" w:sz="4" w:space="0" w:color="auto"/>
              <w:bottom w:val="single" w:sz="4" w:space="0" w:color="auto"/>
            </w:tcBorders>
          </w:tcPr>
          <w:p w:rsidR="00A03512" w:rsidRPr="005A7204" w:rsidRDefault="00A03512" w:rsidP="005D4FC8">
            <w:r w:rsidRPr="005A7204">
              <w:rPr>
                <w:sz w:val="22"/>
                <w:szCs w:val="22"/>
              </w:rPr>
              <w:t>Descargas de aguas residuales, aprovechamiento de candelilla, letrinas, contaminación atmosférica</w:t>
            </w:r>
          </w:p>
        </w:tc>
        <w:tc>
          <w:tcPr>
            <w:tcW w:w="2790" w:type="dxa"/>
            <w:tcBorders>
              <w:top w:val="single" w:sz="4" w:space="0" w:color="auto"/>
              <w:bottom w:val="single" w:sz="4" w:space="0" w:color="auto"/>
            </w:tcBorders>
          </w:tcPr>
          <w:p w:rsidR="00A03512" w:rsidRPr="005A7204" w:rsidRDefault="00A03512" w:rsidP="005D4FC8">
            <w:r w:rsidRPr="005A7204">
              <w:rPr>
                <w:sz w:val="22"/>
                <w:szCs w:val="22"/>
              </w:rPr>
              <w:t>Disminución en la calidad del agua por acidificación, eutrofización y arrastre de contaminantes; disminución en oxigeno disuelto; aumento de brotes de microorganismos; mortalidad de organismos acuáticos y fauna asociada</w:t>
            </w:r>
          </w:p>
        </w:tc>
        <w:tc>
          <w:tcPr>
            <w:tcW w:w="2808" w:type="dxa"/>
            <w:tcBorders>
              <w:top w:val="single" w:sz="4" w:space="0" w:color="auto"/>
              <w:bottom w:val="single" w:sz="4" w:space="0" w:color="auto"/>
            </w:tcBorders>
          </w:tcPr>
          <w:p w:rsidR="00A03512" w:rsidRPr="005A7204" w:rsidRDefault="00A03512" w:rsidP="005D4FC8">
            <w:r w:rsidRPr="005A7204">
              <w:rPr>
                <w:sz w:val="22"/>
                <w:szCs w:val="22"/>
              </w:rPr>
              <w:t>Análisis rutinarios de: pH, alcalinidad/dureza, demanda bioquímica de oxigeno (DBO), demanda química de oxigeno (DQO), conductividad, oxigeno disuelto, cloruros, nitratos, sulfatos, turbidez, coliformes, bacteriófagos, concentración de metales pesados</w:t>
            </w:r>
          </w:p>
        </w:tc>
      </w:tr>
      <w:tr w:rsidR="00A03512">
        <w:tc>
          <w:tcPr>
            <w:tcW w:w="2088" w:type="dxa"/>
            <w:tcBorders>
              <w:top w:val="single" w:sz="4" w:space="0" w:color="auto"/>
              <w:bottom w:val="single" w:sz="4" w:space="0" w:color="auto"/>
            </w:tcBorders>
          </w:tcPr>
          <w:p w:rsidR="00A03512" w:rsidRPr="005A7204" w:rsidRDefault="00A03512" w:rsidP="005D4FC8">
            <w:r w:rsidRPr="005A7204">
              <w:rPr>
                <w:sz w:val="22"/>
                <w:szCs w:val="22"/>
              </w:rPr>
              <w:t>Invasión de especies exóticas</w:t>
            </w:r>
          </w:p>
        </w:tc>
        <w:tc>
          <w:tcPr>
            <w:tcW w:w="1890" w:type="dxa"/>
            <w:tcBorders>
              <w:top w:val="single" w:sz="4" w:space="0" w:color="auto"/>
              <w:bottom w:val="single" w:sz="4" w:space="0" w:color="auto"/>
            </w:tcBorders>
          </w:tcPr>
          <w:p w:rsidR="00A03512" w:rsidRPr="005A7204" w:rsidRDefault="00A03512" w:rsidP="00880CB7">
            <w:r w:rsidRPr="005A7204">
              <w:rPr>
                <w:sz w:val="22"/>
                <w:szCs w:val="22"/>
              </w:rPr>
              <w:t>Dispersión natural de especies exóticas ya establecidas, introducciones intencionales y accidentales</w:t>
            </w:r>
          </w:p>
        </w:tc>
        <w:tc>
          <w:tcPr>
            <w:tcW w:w="2790" w:type="dxa"/>
            <w:tcBorders>
              <w:top w:val="single" w:sz="4" w:space="0" w:color="auto"/>
              <w:bottom w:val="single" w:sz="4" w:space="0" w:color="auto"/>
            </w:tcBorders>
          </w:tcPr>
          <w:p w:rsidR="00A03512" w:rsidRPr="005A7204" w:rsidRDefault="00A03512" w:rsidP="00880CB7">
            <w:r w:rsidRPr="005A7204">
              <w:rPr>
                <w:sz w:val="22"/>
                <w:szCs w:val="22"/>
              </w:rPr>
              <w:t>Cambios en composición, estructura, y funcionalidad de los ecosistemas (desplazamiento de especies acuáticas nativas y cambios en régimen de incendios por  plantas exóticas)</w:t>
            </w:r>
          </w:p>
        </w:tc>
        <w:tc>
          <w:tcPr>
            <w:tcW w:w="2808" w:type="dxa"/>
            <w:tcBorders>
              <w:top w:val="single" w:sz="4" w:space="0" w:color="auto"/>
              <w:bottom w:val="single" w:sz="4" w:space="0" w:color="auto"/>
            </w:tcBorders>
          </w:tcPr>
          <w:p w:rsidR="00A03512" w:rsidRPr="005A7204" w:rsidRDefault="00A03512" w:rsidP="005D4FC8">
            <w:r w:rsidRPr="005A7204">
              <w:rPr>
                <w:sz w:val="22"/>
                <w:szCs w:val="22"/>
              </w:rPr>
              <w:t>Presencia, distribución y abundancia de especies exóticas, dinámica poblacional de especies que compiten (</w:t>
            </w:r>
            <w:r w:rsidRPr="005A7204">
              <w:rPr>
                <w:i/>
                <w:iCs/>
                <w:sz w:val="22"/>
                <w:szCs w:val="22"/>
              </w:rPr>
              <w:t>Tamarix</w:t>
            </w:r>
            <w:r w:rsidRPr="005A7204">
              <w:rPr>
                <w:sz w:val="22"/>
                <w:szCs w:val="22"/>
              </w:rPr>
              <w:t>/</w:t>
            </w:r>
            <w:r w:rsidRPr="005A7204">
              <w:rPr>
                <w:i/>
                <w:iCs/>
                <w:sz w:val="22"/>
                <w:szCs w:val="22"/>
              </w:rPr>
              <w:t>Salix</w:t>
            </w:r>
            <w:r w:rsidRPr="005A7204">
              <w:rPr>
                <w:sz w:val="22"/>
                <w:szCs w:val="22"/>
              </w:rPr>
              <w:t>; castor/coipu)</w:t>
            </w:r>
          </w:p>
        </w:tc>
      </w:tr>
    </w:tbl>
    <w:p w:rsidR="00A03512" w:rsidRDefault="00A03512" w:rsidP="001440AD">
      <w:pPr>
        <w:spacing w:line="360" w:lineRule="auto"/>
        <w:rPr>
          <w:b/>
          <w:bCs/>
        </w:rPr>
      </w:pPr>
    </w:p>
    <w:p w:rsidR="00A03512" w:rsidRDefault="00A03512">
      <w:pPr>
        <w:spacing w:after="200" w:line="276" w:lineRule="auto"/>
        <w:rPr>
          <w:b/>
          <w:bCs/>
        </w:rPr>
      </w:pPr>
      <w:r>
        <w:rPr>
          <w:b/>
          <w:bCs/>
        </w:rPr>
        <w:br w:type="page"/>
      </w:r>
    </w:p>
    <w:p w:rsidR="00A03512" w:rsidRDefault="00A03512" w:rsidP="003B71D4">
      <w:pPr>
        <w:spacing w:line="360" w:lineRule="auto"/>
        <w:rPr>
          <w:b/>
          <w:bCs/>
        </w:rPr>
      </w:pPr>
      <w:r>
        <w:rPr>
          <w:b/>
          <w:bCs/>
        </w:rPr>
        <w:t>Catalogo de Signos Vitales y Metodologías Propuestas</w:t>
      </w:r>
    </w:p>
    <w:p w:rsidR="00A03512" w:rsidRDefault="00A03512" w:rsidP="003B71D4">
      <w:pPr>
        <w:spacing w:line="360" w:lineRule="auto"/>
      </w:pPr>
      <w:r>
        <w:t>A continuación se muestra un resumen de los indicadores propuestos por los diferentes especialistas durante el taller de signos vitales, clasificándolos de acuerdo al tipo de indicador, así como indicando las metodologías propuestas.</w:t>
      </w:r>
    </w:p>
    <w:p w:rsidR="00A03512" w:rsidRDefault="00A03512" w:rsidP="003B71D4">
      <w:pPr>
        <w:spacing w:line="360" w:lineRule="auto"/>
      </w:pPr>
    </w:p>
    <w:p w:rsidR="00A03512" w:rsidRPr="003F076A" w:rsidRDefault="00A03512" w:rsidP="003B71D4">
      <w:pPr>
        <w:spacing w:line="360" w:lineRule="auto"/>
      </w:pPr>
    </w:p>
    <w:tbl>
      <w:tblPr>
        <w:tblW w:w="9648" w:type="dxa"/>
        <w:tblInd w:w="2" w:type="dxa"/>
        <w:tblLook w:val="00A0"/>
      </w:tblPr>
      <w:tblGrid>
        <w:gridCol w:w="1363"/>
        <w:gridCol w:w="3780"/>
        <w:gridCol w:w="4505"/>
      </w:tblGrid>
      <w:tr w:rsidR="00A03512" w:rsidRPr="00240D50">
        <w:trPr>
          <w:trHeight w:val="319"/>
        </w:trPr>
        <w:tc>
          <w:tcPr>
            <w:tcW w:w="1363" w:type="dxa"/>
            <w:tcBorders>
              <w:top w:val="single" w:sz="4" w:space="0" w:color="auto"/>
              <w:left w:val="nil"/>
              <w:bottom w:val="single" w:sz="4" w:space="0" w:color="auto"/>
              <w:right w:val="nil"/>
            </w:tcBorders>
            <w:noWrap/>
            <w:vAlign w:val="bottom"/>
          </w:tcPr>
          <w:p w:rsidR="00A03512" w:rsidRPr="00240D50" w:rsidRDefault="00A03512" w:rsidP="00A02E77">
            <w:pPr>
              <w:jc w:val="center"/>
              <w:rPr>
                <w:b/>
                <w:bCs/>
                <w:color w:val="000000"/>
                <w:sz w:val="20"/>
                <w:szCs w:val="20"/>
              </w:rPr>
            </w:pPr>
            <w:r w:rsidRPr="00240D50">
              <w:rPr>
                <w:b/>
                <w:bCs/>
                <w:color w:val="000000"/>
                <w:sz w:val="20"/>
                <w:szCs w:val="20"/>
              </w:rPr>
              <w:t>Tipo de Indicador</w:t>
            </w:r>
          </w:p>
        </w:tc>
        <w:tc>
          <w:tcPr>
            <w:tcW w:w="3780" w:type="dxa"/>
            <w:tcBorders>
              <w:top w:val="single" w:sz="4" w:space="0" w:color="auto"/>
              <w:left w:val="nil"/>
              <w:bottom w:val="nil"/>
              <w:right w:val="nil"/>
            </w:tcBorders>
          </w:tcPr>
          <w:p w:rsidR="00A03512" w:rsidRPr="00240D50" w:rsidRDefault="00A03512" w:rsidP="00A02E77">
            <w:pPr>
              <w:jc w:val="center"/>
              <w:rPr>
                <w:b/>
                <w:bCs/>
                <w:color w:val="000000"/>
                <w:sz w:val="20"/>
                <w:szCs w:val="20"/>
              </w:rPr>
            </w:pPr>
          </w:p>
          <w:p w:rsidR="00A03512" w:rsidRPr="00240D50" w:rsidRDefault="00A03512" w:rsidP="00A02E77">
            <w:pPr>
              <w:jc w:val="center"/>
              <w:rPr>
                <w:b/>
                <w:bCs/>
                <w:color w:val="000000"/>
                <w:sz w:val="20"/>
                <w:szCs w:val="20"/>
              </w:rPr>
            </w:pPr>
            <w:r w:rsidRPr="00240D50">
              <w:rPr>
                <w:b/>
                <w:bCs/>
                <w:color w:val="000000"/>
                <w:sz w:val="20"/>
                <w:szCs w:val="20"/>
              </w:rPr>
              <w:t>Signos Vitales Potenciales</w:t>
            </w:r>
          </w:p>
        </w:tc>
        <w:tc>
          <w:tcPr>
            <w:tcW w:w="4505" w:type="dxa"/>
            <w:tcBorders>
              <w:top w:val="single" w:sz="4" w:space="0" w:color="auto"/>
              <w:left w:val="nil"/>
              <w:bottom w:val="single" w:sz="4" w:space="0" w:color="auto"/>
              <w:right w:val="nil"/>
            </w:tcBorders>
          </w:tcPr>
          <w:p w:rsidR="00A03512" w:rsidRPr="00240D50" w:rsidRDefault="00A03512" w:rsidP="00A02E77">
            <w:pPr>
              <w:jc w:val="center"/>
              <w:rPr>
                <w:b/>
                <w:bCs/>
                <w:color w:val="000000"/>
                <w:sz w:val="20"/>
                <w:szCs w:val="20"/>
              </w:rPr>
            </w:pPr>
          </w:p>
          <w:p w:rsidR="00A03512" w:rsidRPr="00240D50" w:rsidRDefault="00A03512" w:rsidP="00A02E77">
            <w:pPr>
              <w:jc w:val="center"/>
              <w:rPr>
                <w:b/>
                <w:bCs/>
                <w:color w:val="000000"/>
                <w:sz w:val="20"/>
                <w:szCs w:val="20"/>
              </w:rPr>
            </w:pPr>
            <w:r w:rsidRPr="00240D50">
              <w:rPr>
                <w:b/>
                <w:bCs/>
                <w:color w:val="000000"/>
                <w:sz w:val="20"/>
                <w:szCs w:val="20"/>
              </w:rPr>
              <w:t>Metodologías Propuestas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b/>
                <w:bCs/>
                <w:color w:val="000000"/>
                <w:sz w:val="20"/>
                <w:szCs w:val="20"/>
              </w:rPr>
            </w:pPr>
            <w:r w:rsidRPr="00240D50">
              <w:rPr>
                <w:b/>
                <w:bCs/>
                <w:color w:val="000000"/>
                <w:sz w:val="20"/>
                <w:szCs w:val="20"/>
              </w:rPr>
              <w:t> </w:t>
            </w:r>
          </w:p>
        </w:tc>
        <w:tc>
          <w:tcPr>
            <w:tcW w:w="3780" w:type="dxa"/>
            <w:tcBorders>
              <w:top w:val="single" w:sz="4" w:space="0" w:color="auto"/>
              <w:left w:val="nil"/>
              <w:bottom w:val="nil"/>
              <w:right w:val="nil"/>
            </w:tcBorders>
          </w:tcPr>
          <w:p w:rsidR="00A03512" w:rsidRPr="00240D50" w:rsidRDefault="00A03512" w:rsidP="00A02E77">
            <w:pPr>
              <w:rPr>
                <w:b/>
                <w:bCs/>
                <w:color w:val="000000"/>
                <w:sz w:val="20"/>
                <w:szCs w:val="20"/>
              </w:rPr>
            </w:pPr>
            <w:r w:rsidRPr="00240D50">
              <w:rPr>
                <w:b/>
                <w:bCs/>
                <w:color w:val="000000"/>
                <w:sz w:val="20"/>
                <w:szCs w:val="20"/>
              </w:rPr>
              <w:t> </w:t>
            </w:r>
          </w:p>
        </w:tc>
        <w:tc>
          <w:tcPr>
            <w:tcW w:w="4505" w:type="dxa"/>
            <w:tcBorders>
              <w:top w:val="nil"/>
              <w:left w:val="nil"/>
              <w:bottom w:val="nil"/>
              <w:right w:val="nil"/>
            </w:tcBorders>
          </w:tcPr>
          <w:p w:rsidR="00A03512" w:rsidRPr="00240D50" w:rsidRDefault="00A03512" w:rsidP="00A02E77">
            <w:pPr>
              <w:rPr>
                <w:b/>
                <w:bCs/>
                <w:color w:val="000000"/>
                <w:sz w:val="20"/>
                <w:szCs w:val="20"/>
              </w:rPr>
            </w:pPr>
            <w:r w:rsidRPr="00240D50">
              <w:rPr>
                <w:b/>
                <w:bCs/>
                <w:color w:val="000000"/>
                <w:sz w:val="20"/>
                <w:szCs w:val="20"/>
              </w:rPr>
              <w:t>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b/>
                <w:bCs/>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Partículas suspendidas totales (PST)</w:t>
            </w:r>
          </w:p>
        </w:tc>
        <w:tc>
          <w:tcPr>
            <w:tcW w:w="4505" w:type="dxa"/>
            <w:tcBorders>
              <w:top w:val="nil"/>
              <w:left w:val="nil"/>
              <w:bottom w:val="nil"/>
              <w:right w:val="nil"/>
            </w:tcBorders>
            <w:noWrap/>
            <w:vAlign w:val="bottom"/>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Análisis de polen suspendido</w:t>
            </w:r>
          </w:p>
        </w:tc>
        <w:tc>
          <w:tcPr>
            <w:tcW w:w="4505" w:type="dxa"/>
            <w:tcBorders>
              <w:top w:val="nil"/>
              <w:left w:val="nil"/>
              <w:bottom w:val="nil"/>
              <w:right w:val="nil"/>
            </w:tcBorders>
            <w:noWrap/>
            <w:vAlign w:val="bottom"/>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Análisis de metales pesados</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sidRPr="00240D50">
              <w:rPr>
                <w:color w:val="000000"/>
                <w:sz w:val="20"/>
                <w:szCs w:val="20"/>
              </w:rPr>
              <w:t>Análisis por espectrofotometría</w:t>
            </w:r>
            <w:r>
              <w:rPr>
                <w:color w:val="000000"/>
                <w:sz w:val="20"/>
                <w:szCs w:val="20"/>
              </w:rPr>
              <w:t>,</w:t>
            </w:r>
            <w:r w:rsidRPr="00240D50">
              <w:rPr>
                <w:color w:val="000000"/>
                <w:sz w:val="20"/>
                <w:szCs w:val="20"/>
              </w:rPr>
              <w:t xml:space="preserve"> </w:t>
            </w:r>
            <w:r>
              <w:rPr>
                <w:color w:val="000000"/>
                <w:sz w:val="20"/>
                <w:szCs w:val="20"/>
              </w:rPr>
              <w:t>a</w:t>
            </w:r>
            <w:r w:rsidRPr="00240D50">
              <w:rPr>
                <w:color w:val="000000"/>
                <w:sz w:val="20"/>
                <w:szCs w:val="20"/>
              </w:rPr>
              <w:t>nálisis por</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r w:rsidRPr="00240D50">
              <w:rPr>
                <w:b/>
                <w:bCs/>
                <w:color w:val="000000"/>
                <w:sz w:val="20"/>
                <w:szCs w:val="20"/>
              </w:rPr>
              <w:t>Aire y Clima</w:t>
            </w: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Contaminantes orgánicos volátiles (COVs)</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Pr>
                <w:color w:val="000000"/>
                <w:sz w:val="20"/>
                <w:szCs w:val="20"/>
              </w:rPr>
              <w:t>e</w:t>
            </w:r>
            <w:r w:rsidRPr="00240D50">
              <w:rPr>
                <w:color w:val="000000"/>
                <w:sz w:val="20"/>
                <w:szCs w:val="20"/>
              </w:rPr>
              <w:t>spectroscopia de absorción atómica</w:t>
            </w:r>
            <w:r>
              <w:rPr>
                <w:color w:val="000000"/>
                <w:sz w:val="20"/>
                <w:szCs w:val="20"/>
              </w:rPr>
              <w:t>,</w:t>
            </w:r>
            <w:r w:rsidRPr="00240D50">
              <w:rPr>
                <w:color w:val="000000"/>
                <w:sz w:val="20"/>
                <w:szCs w:val="20"/>
              </w:rPr>
              <w:t xml:space="preserve"> </w:t>
            </w:r>
            <w:r>
              <w:rPr>
                <w:color w:val="000000"/>
                <w:sz w:val="20"/>
                <w:szCs w:val="20"/>
              </w:rPr>
              <w:t>e</w:t>
            </w:r>
            <w:r w:rsidRPr="00240D50">
              <w:rPr>
                <w:color w:val="000000"/>
                <w:sz w:val="20"/>
                <w:szCs w:val="20"/>
              </w:rPr>
              <w:t>staciones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Colecta y análisis de agua de lluvia</w:t>
            </w:r>
          </w:p>
        </w:tc>
        <w:tc>
          <w:tcPr>
            <w:tcW w:w="4505" w:type="dxa"/>
            <w:tcBorders>
              <w:top w:val="nil"/>
              <w:left w:val="nil"/>
              <w:bottom w:val="nil"/>
              <w:right w:val="nil"/>
            </w:tcBorders>
            <w:noWrap/>
            <w:vAlign w:val="bottom"/>
          </w:tcPr>
          <w:p w:rsidR="00A03512" w:rsidRPr="00240D50" w:rsidRDefault="00A03512" w:rsidP="005D4FC8">
            <w:pPr>
              <w:jc w:val="center"/>
              <w:rPr>
                <w:color w:val="000000"/>
                <w:sz w:val="20"/>
                <w:szCs w:val="20"/>
              </w:rPr>
            </w:pPr>
            <w:r w:rsidRPr="00240D50">
              <w:rPr>
                <w:color w:val="000000"/>
                <w:sz w:val="20"/>
                <w:szCs w:val="20"/>
              </w:rPr>
              <w:t>meteorológicas autónomas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Bioindicadores de contaminación</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Temperatura y precipitación</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single" w:sz="4" w:space="0" w:color="auto"/>
              <w:left w:val="nil"/>
              <w:bottom w:val="nil"/>
              <w:right w:val="nil"/>
            </w:tcBorders>
            <w:noWrap/>
            <w:vAlign w:val="bottom"/>
          </w:tcPr>
          <w:p w:rsidR="00A03512" w:rsidRPr="00240D50" w:rsidRDefault="00A03512" w:rsidP="00A02E77">
            <w:pPr>
              <w:jc w:val="center"/>
              <w:rPr>
                <w:color w:val="000000"/>
                <w:sz w:val="20"/>
                <w:szCs w:val="20"/>
              </w:rPr>
            </w:pPr>
            <w:r w:rsidRPr="00240D50">
              <w:rPr>
                <w:color w:val="000000"/>
                <w:sz w:val="20"/>
                <w:szCs w:val="20"/>
              </w:rPr>
              <w:t> </w:t>
            </w:r>
          </w:p>
        </w:tc>
        <w:tc>
          <w:tcPr>
            <w:tcW w:w="3780" w:type="dxa"/>
            <w:tcBorders>
              <w:top w:val="single" w:sz="4" w:space="0" w:color="auto"/>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 </w:t>
            </w:r>
          </w:p>
        </w:tc>
        <w:tc>
          <w:tcPr>
            <w:tcW w:w="4505" w:type="dxa"/>
            <w:tcBorders>
              <w:top w:val="single" w:sz="4" w:space="0" w:color="auto"/>
              <w:left w:val="nil"/>
              <w:bottom w:val="nil"/>
              <w:right w:val="nil"/>
            </w:tcBorders>
          </w:tcPr>
          <w:p w:rsidR="00A03512" w:rsidRPr="00240D50" w:rsidRDefault="00A03512" w:rsidP="00A02E77">
            <w:pPr>
              <w:rPr>
                <w:color w:val="000000"/>
                <w:sz w:val="20"/>
                <w:szCs w:val="20"/>
              </w:rPr>
            </w:pPr>
            <w:r w:rsidRPr="00240D50">
              <w:rPr>
                <w:color w:val="000000"/>
                <w:sz w:val="20"/>
                <w:szCs w:val="20"/>
              </w:rPr>
              <w:t>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887F1D">
            <w:pPr>
              <w:jc w:val="center"/>
              <w:rPr>
                <w:b/>
                <w:bCs/>
                <w:color w:val="000000"/>
                <w:sz w:val="20"/>
                <w:szCs w:val="20"/>
              </w:rPr>
            </w:pPr>
            <w:r w:rsidRPr="00240D50">
              <w:rPr>
                <w:b/>
                <w:bCs/>
                <w:color w:val="000000"/>
                <w:sz w:val="20"/>
                <w:szCs w:val="20"/>
              </w:rPr>
              <w:t xml:space="preserve">Geología y </w:t>
            </w:r>
          </w:p>
        </w:tc>
        <w:tc>
          <w:tcPr>
            <w:tcW w:w="3780" w:type="dxa"/>
            <w:tcBorders>
              <w:top w:val="nil"/>
              <w:left w:val="nil"/>
              <w:bottom w:val="nil"/>
              <w:right w:val="nil"/>
            </w:tcBorders>
          </w:tcPr>
          <w:p w:rsidR="00A03512" w:rsidRPr="00240D50" w:rsidRDefault="00A03512" w:rsidP="00A02E77">
            <w:pPr>
              <w:rPr>
                <w:color w:val="000000"/>
                <w:sz w:val="20"/>
                <w:szCs w:val="20"/>
              </w:rPr>
            </w:pPr>
            <w:r w:rsidRPr="00240D50">
              <w:rPr>
                <w:color w:val="000000"/>
                <w:sz w:val="20"/>
                <w:szCs w:val="20"/>
              </w:rPr>
              <w:t>Dinámica hídrica del suelo</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r w:rsidRPr="00240D50">
              <w:rPr>
                <w:b/>
                <w:bCs/>
                <w:color w:val="000000"/>
                <w:sz w:val="20"/>
                <w:szCs w:val="20"/>
              </w:rPr>
              <w:t>Suelos</w:t>
            </w: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Suelo perdido por unidad de superficie</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Superficies con afloramientos rocosos</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sidRPr="00240D50">
              <w:rPr>
                <w:color w:val="000000"/>
                <w:sz w:val="20"/>
                <w:szCs w:val="20"/>
              </w:rPr>
              <w:t>Clavos de erosión</w:t>
            </w:r>
            <w:r>
              <w:rPr>
                <w:color w:val="000000"/>
                <w:sz w:val="20"/>
                <w:szCs w:val="20"/>
              </w:rPr>
              <w:t>,</w:t>
            </w:r>
            <w:r w:rsidRPr="00240D50">
              <w:rPr>
                <w:color w:val="000000"/>
                <w:sz w:val="20"/>
                <w:szCs w:val="20"/>
              </w:rPr>
              <w:t xml:space="preserve"> </w:t>
            </w:r>
            <w:r>
              <w:rPr>
                <w:color w:val="000000"/>
                <w:sz w:val="20"/>
                <w:szCs w:val="20"/>
              </w:rPr>
              <w:t>f</w:t>
            </w:r>
            <w:r w:rsidRPr="00240D50">
              <w:rPr>
                <w:color w:val="000000"/>
                <w:sz w:val="20"/>
                <w:szCs w:val="20"/>
              </w:rPr>
              <w:t>otogrametría e interpretación</w:t>
            </w:r>
            <w:r>
              <w:rPr>
                <w:color w:val="000000"/>
                <w:sz w:val="20"/>
                <w:szCs w:val="20"/>
              </w:rPr>
              <w:t>,</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Superficie de cárcavas</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Pr>
                <w:color w:val="000000"/>
                <w:sz w:val="20"/>
                <w:szCs w:val="20"/>
              </w:rPr>
              <w:t>c</w:t>
            </w:r>
            <w:r w:rsidRPr="00240D50">
              <w:rPr>
                <w:color w:val="000000"/>
                <w:sz w:val="20"/>
                <w:szCs w:val="20"/>
              </w:rPr>
              <w:t>uadrantes de Matteucci y Colma (1982)</w:t>
            </w:r>
            <w:r>
              <w:rPr>
                <w:color w:val="000000"/>
                <w:sz w:val="20"/>
                <w:szCs w:val="20"/>
              </w:rPr>
              <w:t>, l</w:t>
            </w:r>
            <w:r w:rsidRPr="00240D50">
              <w:rPr>
                <w:color w:val="000000"/>
                <w:sz w:val="20"/>
                <w:szCs w:val="20"/>
              </w:rPr>
              <w:t>ínea de</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Porcentaje de suelo desnudo</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sidRPr="00240D50">
              <w:rPr>
                <w:color w:val="000000"/>
                <w:sz w:val="20"/>
                <w:szCs w:val="20"/>
              </w:rPr>
              <w:t>Canfield (1941)</w:t>
            </w:r>
            <w:r>
              <w:rPr>
                <w:color w:val="000000"/>
                <w:sz w:val="20"/>
                <w:szCs w:val="20"/>
              </w:rPr>
              <w:t>, p</w:t>
            </w:r>
            <w:r w:rsidRPr="00240D50">
              <w:rPr>
                <w:color w:val="000000"/>
                <w:sz w:val="20"/>
                <w:szCs w:val="20"/>
              </w:rPr>
              <w:t>arcelas de captación</w:t>
            </w:r>
            <w:r>
              <w:rPr>
                <w:color w:val="000000"/>
                <w:sz w:val="20"/>
                <w:szCs w:val="20"/>
              </w:rPr>
              <w:t>,</w:t>
            </w:r>
            <w:r w:rsidRPr="00240D50">
              <w:rPr>
                <w:color w:val="000000"/>
                <w:sz w:val="20"/>
                <w:szCs w:val="20"/>
              </w:rPr>
              <w:t xml:space="preserve"> </w:t>
            </w:r>
            <w:r>
              <w:rPr>
                <w:color w:val="000000"/>
                <w:sz w:val="20"/>
                <w:szCs w:val="20"/>
              </w:rPr>
              <w:t>a</w:t>
            </w:r>
            <w:r w:rsidRPr="00240D50">
              <w:rPr>
                <w:color w:val="000000"/>
                <w:sz w:val="20"/>
                <w:szCs w:val="20"/>
              </w:rPr>
              <w:t>nálisis de</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Cantidad de capa fértil del suelo</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sidRPr="00240D50">
              <w:rPr>
                <w:color w:val="000000"/>
                <w:sz w:val="20"/>
                <w:szCs w:val="20"/>
              </w:rPr>
              <w:t>horizontes de suelo</w:t>
            </w:r>
            <w:r>
              <w:rPr>
                <w:color w:val="000000"/>
                <w:sz w:val="20"/>
                <w:szCs w:val="20"/>
              </w:rPr>
              <w:t>, p</w:t>
            </w:r>
            <w:r w:rsidRPr="00240D50">
              <w:rPr>
                <w:color w:val="000000"/>
                <w:sz w:val="20"/>
                <w:szCs w:val="20"/>
              </w:rPr>
              <w:t>enetrometro</w:t>
            </w:r>
            <w:r>
              <w:rPr>
                <w:color w:val="000000"/>
                <w:sz w:val="20"/>
                <w:szCs w:val="20"/>
              </w:rPr>
              <w:t>,</w:t>
            </w:r>
            <w:r w:rsidRPr="00240D50">
              <w:rPr>
                <w:color w:val="000000"/>
                <w:sz w:val="20"/>
                <w:szCs w:val="20"/>
              </w:rPr>
              <w:t xml:space="preserve"> </w:t>
            </w:r>
            <w:r>
              <w:rPr>
                <w:color w:val="000000"/>
                <w:sz w:val="20"/>
                <w:szCs w:val="20"/>
              </w:rPr>
              <w:t>a</w:t>
            </w:r>
            <w:r w:rsidRPr="00240D50">
              <w:rPr>
                <w:color w:val="000000"/>
                <w:sz w:val="20"/>
                <w:szCs w:val="20"/>
              </w:rPr>
              <w:t>nálisis por</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Formación de islas en cause del Rio Bravo</w:t>
            </w:r>
          </w:p>
        </w:tc>
        <w:tc>
          <w:tcPr>
            <w:tcW w:w="4505" w:type="dxa"/>
            <w:tcBorders>
              <w:top w:val="nil"/>
              <w:left w:val="nil"/>
              <w:bottom w:val="nil"/>
              <w:right w:val="nil"/>
            </w:tcBorders>
          </w:tcPr>
          <w:p w:rsidR="00A03512" w:rsidRPr="00240D50" w:rsidRDefault="00A03512" w:rsidP="005D4FC8">
            <w:pPr>
              <w:jc w:val="center"/>
              <w:rPr>
                <w:color w:val="000000"/>
                <w:sz w:val="20"/>
                <w:szCs w:val="20"/>
              </w:rPr>
            </w:pPr>
            <w:r w:rsidRPr="00240D50">
              <w:rPr>
                <w:color w:val="000000"/>
                <w:sz w:val="20"/>
                <w:szCs w:val="20"/>
              </w:rPr>
              <w:t>sensores remotos  y SIG</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Estructura de bancos del Rio Bravo</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single" w:sz="4" w:space="0" w:color="auto"/>
              <w:left w:val="nil"/>
              <w:bottom w:val="nil"/>
              <w:right w:val="nil"/>
            </w:tcBorders>
            <w:noWrap/>
            <w:vAlign w:val="bottom"/>
          </w:tcPr>
          <w:p w:rsidR="00A03512" w:rsidRPr="00240D50" w:rsidRDefault="00A03512" w:rsidP="00A02E77">
            <w:pPr>
              <w:jc w:val="center"/>
              <w:rPr>
                <w:color w:val="000000"/>
                <w:sz w:val="20"/>
                <w:szCs w:val="20"/>
              </w:rPr>
            </w:pPr>
            <w:r w:rsidRPr="00240D50">
              <w:rPr>
                <w:color w:val="000000"/>
                <w:sz w:val="20"/>
                <w:szCs w:val="20"/>
              </w:rPr>
              <w:t> </w:t>
            </w:r>
          </w:p>
        </w:tc>
        <w:tc>
          <w:tcPr>
            <w:tcW w:w="3780" w:type="dxa"/>
            <w:tcBorders>
              <w:top w:val="single" w:sz="4" w:space="0" w:color="auto"/>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 </w:t>
            </w:r>
          </w:p>
        </w:tc>
        <w:tc>
          <w:tcPr>
            <w:tcW w:w="4505" w:type="dxa"/>
            <w:tcBorders>
              <w:top w:val="single" w:sz="4" w:space="0" w:color="auto"/>
              <w:left w:val="nil"/>
              <w:bottom w:val="nil"/>
              <w:right w:val="nil"/>
            </w:tcBorders>
          </w:tcPr>
          <w:p w:rsidR="00A03512" w:rsidRPr="00240D50" w:rsidRDefault="00A03512" w:rsidP="00A02E77">
            <w:pPr>
              <w:rPr>
                <w:color w:val="000000"/>
                <w:sz w:val="20"/>
                <w:szCs w:val="20"/>
              </w:rPr>
            </w:pPr>
            <w:r w:rsidRPr="00240D50">
              <w:rPr>
                <w:color w:val="000000"/>
                <w:sz w:val="20"/>
                <w:szCs w:val="20"/>
              </w:rPr>
              <w:t>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b/>
                <w:bCs/>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Taza de flujos de agua</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pH</w:t>
            </w:r>
          </w:p>
        </w:tc>
        <w:tc>
          <w:tcPr>
            <w:tcW w:w="4505" w:type="dxa"/>
            <w:tcBorders>
              <w:top w:val="nil"/>
              <w:left w:val="nil"/>
              <w:bottom w:val="nil"/>
              <w:right w:val="nil"/>
            </w:tcBorders>
          </w:tcPr>
          <w:p w:rsidR="00A03512" w:rsidRPr="00240D50" w:rsidRDefault="00A03512" w:rsidP="00240D50">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Alcalinidad/dureza</w:t>
            </w:r>
          </w:p>
        </w:tc>
        <w:tc>
          <w:tcPr>
            <w:tcW w:w="4505" w:type="dxa"/>
            <w:tcBorders>
              <w:top w:val="nil"/>
              <w:left w:val="nil"/>
              <w:bottom w:val="nil"/>
              <w:right w:val="nil"/>
            </w:tcBorders>
          </w:tcPr>
          <w:p w:rsidR="00A03512" w:rsidRPr="00240D50" w:rsidRDefault="00A03512" w:rsidP="00A02E77">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Demanda bioquímica de oxigeno (DBO)</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Medición de la sección hidráulica en puntos fijos</w:t>
            </w:r>
            <w:r>
              <w:rPr>
                <w:color w:val="000000"/>
                <w:sz w:val="20"/>
                <w:szCs w:val="20"/>
              </w:rPr>
              <w:t>,</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Demanda química de oxigeno (DQO)</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Pr>
                <w:color w:val="000000"/>
                <w:sz w:val="20"/>
                <w:szCs w:val="20"/>
              </w:rPr>
              <w:t>s</w:t>
            </w:r>
            <w:r w:rsidRPr="00240D50">
              <w:rPr>
                <w:color w:val="000000"/>
                <w:sz w:val="20"/>
                <w:szCs w:val="20"/>
              </w:rPr>
              <w:t>eguimiento a profundidad de espejo de agua en</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Conductividad</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Pr>
                <w:color w:val="000000"/>
                <w:sz w:val="20"/>
                <w:szCs w:val="20"/>
              </w:rPr>
              <w:t>n</w:t>
            </w:r>
            <w:r w:rsidRPr="00240D50">
              <w:rPr>
                <w:color w:val="000000"/>
                <w:sz w:val="20"/>
                <w:szCs w:val="20"/>
              </w:rPr>
              <w:t>orias</w:t>
            </w:r>
            <w:r>
              <w:rPr>
                <w:color w:val="000000"/>
                <w:sz w:val="20"/>
                <w:szCs w:val="20"/>
              </w:rPr>
              <w:t>, a</w:t>
            </w:r>
            <w:r w:rsidRPr="00240D50">
              <w:rPr>
                <w:color w:val="000000"/>
                <w:sz w:val="20"/>
                <w:szCs w:val="20"/>
              </w:rPr>
              <w:t>nálisis por espectrofotometría</w:t>
            </w:r>
            <w:r>
              <w:rPr>
                <w:color w:val="000000"/>
                <w:sz w:val="20"/>
                <w:szCs w:val="20"/>
              </w:rPr>
              <w:t>,</w:t>
            </w:r>
            <w:r w:rsidRPr="00240D50">
              <w:rPr>
                <w:color w:val="000000"/>
                <w:sz w:val="20"/>
                <w:szCs w:val="20"/>
              </w:rPr>
              <w:t xml:space="preserve"> </w:t>
            </w:r>
            <w:r>
              <w:rPr>
                <w:color w:val="000000"/>
                <w:sz w:val="20"/>
                <w:szCs w:val="20"/>
              </w:rPr>
              <w:t>a</w:t>
            </w:r>
            <w:r w:rsidRPr="00240D50">
              <w:rPr>
                <w:color w:val="000000"/>
                <w:sz w:val="20"/>
                <w:szCs w:val="20"/>
              </w:rPr>
              <w:t>nálisis por</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r w:rsidRPr="00240D50">
              <w:rPr>
                <w:b/>
                <w:bCs/>
                <w:color w:val="000000"/>
                <w:sz w:val="20"/>
                <w:szCs w:val="20"/>
              </w:rPr>
              <w:t>Agua</w:t>
            </w: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Oxigeno disuelto</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espectroscopia de absorción atómica</w:t>
            </w:r>
            <w:r>
              <w:rPr>
                <w:color w:val="000000"/>
                <w:sz w:val="20"/>
                <w:szCs w:val="20"/>
              </w:rPr>
              <w:t>,</w:t>
            </w:r>
            <w:r w:rsidRPr="00240D50">
              <w:rPr>
                <w:color w:val="000000"/>
                <w:sz w:val="20"/>
                <w:szCs w:val="20"/>
              </w:rPr>
              <w:t xml:space="preserve"> </w:t>
            </w:r>
            <w:r>
              <w:rPr>
                <w:color w:val="000000"/>
                <w:sz w:val="20"/>
                <w:szCs w:val="20"/>
              </w:rPr>
              <w:t>Cr</w:t>
            </w:r>
            <w:r w:rsidRPr="00240D50">
              <w:rPr>
                <w:color w:val="000000"/>
                <w:sz w:val="20"/>
                <w:szCs w:val="20"/>
              </w:rPr>
              <w:t>omatografía</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Cloruros</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de Líquidos de Alta Resolución (HPLC)</w:t>
            </w:r>
            <w:r>
              <w:rPr>
                <w:color w:val="000000"/>
                <w:sz w:val="20"/>
                <w:szCs w:val="20"/>
              </w:rPr>
              <w:t>,</w:t>
            </w:r>
            <w:r w:rsidRPr="00240D50">
              <w:rPr>
                <w:color w:val="000000"/>
                <w:sz w:val="20"/>
                <w:szCs w:val="20"/>
              </w:rPr>
              <w:t xml:space="preserve"> </w:t>
            </w:r>
            <w:r>
              <w:rPr>
                <w:color w:val="000000"/>
                <w:sz w:val="20"/>
                <w:szCs w:val="20"/>
              </w:rPr>
              <w:t>m</w:t>
            </w:r>
            <w:r w:rsidRPr="00240D50">
              <w:rPr>
                <w:color w:val="000000"/>
                <w:sz w:val="20"/>
                <w:szCs w:val="20"/>
              </w:rPr>
              <w:t>edios de</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Nitratos</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cultivo de microorganismos</w:t>
            </w:r>
            <w:r>
              <w:rPr>
                <w:color w:val="000000"/>
                <w:sz w:val="20"/>
                <w:szCs w:val="20"/>
              </w:rPr>
              <w:t>, d</w:t>
            </w:r>
            <w:r w:rsidRPr="00240D50">
              <w:rPr>
                <w:color w:val="000000"/>
                <w:sz w:val="20"/>
                <w:szCs w:val="20"/>
              </w:rPr>
              <w:t>iferencia de peso en</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Sulfatos</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agua, sólidos sedimentables por unidad de volumen</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Coliformes</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de agua</w:t>
            </w:r>
            <w:r>
              <w:rPr>
                <w:color w:val="000000"/>
                <w:sz w:val="20"/>
                <w:szCs w:val="20"/>
              </w:rPr>
              <w:t>,</w:t>
            </w:r>
            <w:r w:rsidRPr="00240D50">
              <w:rPr>
                <w:color w:val="000000"/>
                <w:sz w:val="20"/>
                <w:szCs w:val="20"/>
              </w:rPr>
              <w:t xml:space="preserve"> NOM-002-SEMARNAT</w:t>
            </w:r>
            <w:r>
              <w:rPr>
                <w:color w:val="000000"/>
                <w:sz w:val="20"/>
                <w:szCs w:val="20"/>
              </w:rPr>
              <w:t>,</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A02E77">
            <w:pPr>
              <w:rPr>
                <w:color w:val="000000"/>
                <w:sz w:val="20"/>
                <w:szCs w:val="20"/>
              </w:rPr>
            </w:pPr>
            <w:r w:rsidRPr="00240D50">
              <w:rPr>
                <w:color w:val="000000"/>
                <w:sz w:val="20"/>
                <w:szCs w:val="20"/>
              </w:rPr>
              <w:t>Bacteriófagos</w:t>
            </w:r>
          </w:p>
        </w:tc>
        <w:tc>
          <w:tcPr>
            <w:tcW w:w="4505" w:type="dxa"/>
            <w:tcBorders>
              <w:top w:val="nil"/>
              <w:left w:val="nil"/>
              <w:bottom w:val="nil"/>
              <w:right w:val="nil"/>
            </w:tcBorders>
          </w:tcPr>
          <w:p w:rsidR="00A03512" w:rsidRPr="00240D50" w:rsidRDefault="00A03512" w:rsidP="004604FA">
            <w:pPr>
              <w:jc w:val="center"/>
              <w:rPr>
                <w:color w:val="000000"/>
                <w:sz w:val="20"/>
                <w:szCs w:val="20"/>
              </w:rPr>
            </w:pPr>
            <w:r w:rsidRPr="00240D50">
              <w:rPr>
                <w:color w:val="000000"/>
                <w:sz w:val="20"/>
                <w:szCs w:val="20"/>
              </w:rPr>
              <w:t>NOM-001-SEMARNAT</w:t>
            </w:r>
          </w:p>
        </w:tc>
      </w:tr>
      <w:tr w:rsidR="00A03512" w:rsidRPr="00240D50">
        <w:trPr>
          <w:trHeight w:val="158"/>
        </w:trPr>
        <w:tc>
          <w:tcPr>
            <w:tcW w:w="1363" w:type="dxa"/>
            <w:tcBorders>
              <w:top w:val="nil"/>
              <w:left w:val="nil"/>
              <w:right w:val="nil"/>
            </w:tcBorders>
            <w:noWrap/>
            <w:vAlign w:val="bottom"/>
          </w:tcPr>
          <w:p w:rsidR="00A03512" w:rsidRPr="00240D50" w:rsidRDefault="00A03512" w:rsidP="00A02E77">
            <w:pPr>
              <w:jc w:val="center"/>
              <w:rPr>
                <w:color w:val="000000"/>
                <w:sz w:val="20"/>
                <w:szCs w:val="20"/>
              </w:rPr>
            </w:pPr>
          </w:p>
        </w:tc>
        <w:tc>
          <w:tcPr>
            <w:tcW w:w="3780" w:type="dxa"/>
            <w:tcBorders>
              <w:top w:val="nil"/>
              <w:left w:val="nil"/>
              <w:right w:val="nil"/>
            </w:tcBorders>
            <w:noWrap/>
            <w:vAlign w:val="bottom"/>
          </w:tcPr>
          <w:p w:rsidR="00A03512" w:rsidRPr="00240D50" w:rsidRDefault="00A03512" w:rsidP="00A02E77">
            <w:pPr>
              <w:rPr>
                <w:color w:val="000000"/>
                <w:sz w:val="20"/>
                <w:szCs w:val="20"/>
              </w:rPr>
            </w:pPr>
            <w:r w:rsidRPr="00240D50">
              <w:rPr>
                <w:color w:val="000000"/>
                <w:sz w:val="20"/>
                <w:szCs w:val="20"/>
              </w:rPr>
              <w:t>Turbidez</w:t>
            </w:r>
          </w:p>
        </w:tc>
        <w:tc>
          <w:tcPr>
            <w:tcW w:w="4505" w:type="dxa"/>
            <w:tcBorders>
              <w:top w:val="nil"/>
              <w:left w:val="nil"/>
              <w:right w:val="nil"/>
            </w:tcBorders>
          </w:tcPr>
          <w:p w:rsidR="00A03512" w:rsidRPr="00240D50" w:rsidRDefault="00A03512" w:rsidP="0009401D">
            <w:pPr>
              <w:jc w:val="center"/>
              <w:rPr>
                <w:color w:val="000000"/>
                <w:sz w:val="20"/>
                <w:szCs w:val="20"/>
              </w:rPr>
            </w:pPr>
          </w:p>
        </w:tc>
      </w:tr>
      <w:tr w:rsidR="00A03512" w:rsidRPr="00240D50">
        <w:trPr>
          <w:trHeight w:val="158"/>
        </w:trPr>
        <w:tc>
          <w:tcPr>
            <w:tcW w:w="1363" w:type="dxa"/>
            <w:tcBorders>
              <w:top w:val="nil"/>
              <w:left w:val="nil"/>
              <w:bottom w:val="single" w:sz="4" w:space="0" w:color="auto"/>
              <w:right w:val="nil"/>
            </w:tcBorders>
            <w:noWrap/>
            <w:vAlign w:val="bottom"/>
          </w:tcPr>
          <w:p w:rsidR="00A03512" w:rsidRDefault="00A03512" w:rsidP="00A02E77">
            <w:pPr>
              <w:jc w:val="center"/>
              <w:rPr>
                <w:color w:val="000000"/>
                <w:sz w:val="20"/>
                <w:szCs w:val="20"/>
              </w:rPr>
            </w:pPr>
          </w:p>
          <w:p w:rsidR="00A03512" w:rsidRPr="00240D50" w:rsidRDefault="00A03512" w:rsidP="00A02E77">
            <w:pPr>
              <w:jc w:val="center"/>
              <w:rPr>
                <w:color w:val="000000"/>
                <w:sz w:val="20"/>
                <w:szCs w:val="20"/>
              </w:rPr>
            </w:pPr>
          </w:p>
        </w:tc>
        <w:tc>
          <w:tcPr>
            <w:tcW w:w="3780" w:type="dxa"/>
            <w:tcBorders>
              <w:top w:val="nil"/>
              <w:left w:val="nil"/>
              <w:bottom w:val="single" w:sz="4" w:space="0" w:color="auto"/>
              <w:right w:val="nil"/>
            </w:tcBorders>
            <w:noWrap/>
            <w:vAlign w:val="bottom"/>
          </w:tcPr>
          <w:p w:rsidR="00A03512" w:rsidRDefault="00A03512" w:rsidP="00A02E77">
            <w:pPr>
              <w:rPr>
                <w:color w:val="000000"/>
                <w:sz w:val="20"/>
                <w:szCs w:val="20"/>
              </w:rPr>
            </w:pPr>
            <w:r w:rsidRPr="00240D50">
              <w:rPr>
                <w:color w:val="000000"/>
                <w:sz w:val="20"/>
                <w:szCs w:val="20"/>
              </w:rPr>
              <w:t>Concentración de metales pesados</w:t>
            </w:r>
          </w:p>
          <w:p w:rsidR="00A03512" w:rsidRPr="00240D50" w:rsidRDefault="00A03512" w:rsidP="00A02E77">
            <w:pPr>
              <w:rPr>
                <w:color w:val="000000"/>
                <w:sz w:val="20"/>
                <w:szCs w:val="20"/>
              </w:rPr>
            </w:pPr>
          </w:p>
        </w:tc>
        <w:tc>
          <w:tcPr>
            <w:tcW w:w="4505" w:type="dxa"/>
            <w:tcBorders>
              <w:top w:val="nil"/>
              <w:left w:val="nil"/>
              <w:bottom w:val="single" w:sz="4" w:space="0" w:color="auto"/>
              <w:right w:val="nil"/>
            </w:tcBorders>
          </w:tcPr>
          <w:p w:rsidR="00A03512" w:rsidRPr="00240D50" w:rsidRDefault="00A03512" w:rsidP="00A02E77">
            <w:pPr>
              <w:rPr>
                <w:color w:val="000000"/>
                <w:sz w:val="20"/>
                <w:szCs w:val="20"/>
              </w:rPr>
            </w:pPr>
          </w:p>
        </w:tc>
      </w:tr>
    </w:tbl>
    <w:p w:rsidR="00A03512" w:rsidRDefault="00A03512" w:rsidP="003B71D4">
      <w:pPr>
        <w:spacing w:line="360" w:lineRule="auto"/>
        <w:rPr>
          <w:b/>
          <w:bCs/>
        </w:rPr>
      </w:pPr>
    </w:p>
    <w:p w:rsidR="00A03512" w:rsidRDefault="00A03512" w:rsidP="003B71D4">
      <w:pPr>
        <w:spacing w:line="360" w:lineRule="auto"/>
        <w:rPr>
          <w:b/>
          <w:bCs/>
        </w:rPr>
      </w:pPr>
    </w:p>
    <w:p w:rsidR="00A03512" w:rsidRDefault="00A03512" w:rsidP="003B71D4">
      <w:pPr>
        <w:spacing w:line="360" w:lineRule="auto"/>
        <w:rPr>
          <w:b/>
          <w:bCs/>
        </w:rPr>
      </w:pPr>
    </w:p>
    <w:p w:rsidR="00A03512" w:rsidRDefault="00A03512" w:rsidP="003B71D4">
      <w:pPr>
        <w:spacing w:line="360" w:lineRule="auto"/>
        <w:rPr>
          <w:b/>
          <w:bCs/>
        </w:rPr>
      </w:pPr>
    </w:p>
    <w:p w:rsidR="00A03512" w:rsidRDefault="00A03512" w:rsidP="003B71D4">
      <w:pPr>
        <w:spacing w:line="360" w:lineRule="auto"/>
        <w:rPr>
          <w:b/>
          <w:bCs/>
        </w:rPr>
      </w:pPr>
    </w:p>
    <w:p w:rsidR="00A03512" w:rsidRDefault="00A03512" w:rsidP="003B71D4">
      <w:pPr>
        <w:spacing w:line="360" w:lineRule="auto"/>
        <w:rPr>
          <w:b/>
          <w:bCs/>
        </w:rPr>
      </w:pPr>
    </w:p>
    <w:p w:rsidR="00A03512" w:rsidRDefault="00A03512" w:rsidP="003B71D4">
      <w:pPr>
        <w:spacing w:line="360" w:lineRule="auto"/>
        <w:rPr>
          <w:b/>
          <w:bCs/>
        </w:rPr>
      </w:pPr>
    </w:p>
    <w:tbl>
      <w:tblPr>
        <w:tblW w:w="9648" w:type="dxa"/>
        <w:tblInd w:w="2" w:type="dxa"/>
        <w:tblLook w:val="00A0"/>
      </w:tblPr>
      <w:tblGrid>
        <w:gridCol w:w="1363"/>
        <w:gridCol w:w="3780"/>
        <w:gridCol w:w="4505"/>
      </w:tblGrid>
      <w:tr w:rsidR="00A03512" w:rsidRPr="00240D50">
        <w:trPr>
          <w:trHeight w:val="319"/>
        </w:trPr>
        <w:tc>
          <w:tcPr>
            <w:tcW w:w="1363" w:type="dxa"/>
            <w:tcBorders>
              <w:top w:val="single" w:sz="4" w:space="0" w:color="auto"/>
              <w:left w:val="nil"/>
              <w:bottom w:val="single" w:sz="4" w:space="0" w:color="auto"/>
              <w:right w:val="nil"/>
            </w:tcBorders>
            <w:noWrap/>
            <w:vAlign w:val="bottom"/>
          </w:tcPr>
          <w:p w:rsidR="00A03512" w:rsidRPr="00240D50" w:rsidRDefault="00A03512" w:rsidP="001E78C6">
            <w:pPr>
              <w:jc w:val="center"/>
              <w:rPr>
                <w:b/>
                <w:bCs/>
                <w:color w:val="000000"/>
                <w:sz w:val="20"/>
                <w:szCs w:val="20"/>
              </w:rPr>
            </w:pPr>
            <w:r w:rsidRPr="00240D50">
              <w:rPr>
                <w:b/>
                <w:bCs/>
                <w:color w:val="000000"/>
                <w:sz w:val="20"/>
                <w:szCs w:val="20"/>
              </w:rPr>
              <w:t>Tipo de Indicador</w:t>
            </w:r>
          </w:p>
        </w:tc>
        <w:tc>
          <w:tcPr>
            <w:tcW w:w="3780" w:type="dxa"/>
            <w:tcBorders>
              <w:top w:val="single" w:sz="4" w:space="0" w:color="auto"/>
              <w:left w:val="nil"/>
              <w:bottom w:val="single" w:sz="4" w:space="0" w:color="auto"/>
              <w:right w:val="nil"/>
            </w:tcBorders>
          </w:tcPr>
          <w:p w:rsidR="00A03512" w:rsidRPr="00240D50" w:rsidRDefault="00A03512" w:rsidP="001E78C6">
            <w:pPr>
              <w:jc w:val="center"/>
              <w:rPr>
                <w:b/>
                <w:bCs/>
                <w:color w:val="000000"/>
                <w:sz w:val="20"/>
                <w:szCs w:val="20"/>
              </w:rPr>
            </w:pPr>
          </w:p>
          <w:p w:rsidR="00A03512" w:rsidRPr="00240D50" w:rsidRDefault="00A03512" w:rsidP="001E78C6">
            <w:pPr>
              <w:jc w:val="center"/>
              <w:rPr>
                <w:b/>
                <w:bCs/>
                <w:color w:val="000000"/>
                <w:sz w:val="20"/>
                <w:szCs w:val="20"/>
              </w:rPr>
            </w:pPr>
            <w:r w:rsidRPr="00240D50">
              <w:rPr>
                <w:b/>
                <w:bCs/>
                <w:color w:val="000000"/>
                <w:sz w:val="20"/>
                <w:szCs w:val="20"/>
              </w:rPr>
              <w:t>Signos Vitales Potenciales</w:t>
            </w:r>
          </w:p>
        </w:tc>
        <w:tc>
          <w:tcPr>
            <w:tcW w:w="4505" w:type="dxa"/>
            <w:tcBorders>
              <w:top w:val="single" w:sz="4" w:space="0" w:color="auto"/>
              <w:left w:val="nil"/>
              <w:bottom w:val="single" w:sz="4" w:space="0" w:color="auto"/>
              <w:right w:val="nil"/>
            </w:tcBorders>
          </w:tcPr>
          <w:p w:rsidR="00A03512" w:rsidRPr="00240D50" w:rsidRDefault="00A03512" w:rsidP="001E78C6">
            <w:pPr>
              <w:jc w:val="center"/>
              <w:rPr>
                <w:b/>
                <w:bCs/>
                <w:color w:val="000000"/>
                <w:sz w:val="20"/>
                <w:szCs w:val="20"/>
              </w:rPr>
            </w:pPr>
          </w:p>
          <w:p w:rsidR="00A03512" w:rsidRPr="00240D50" w:rsidRDefault="00A03512" w:rsidP="001E78C6">
            <w:pPr>
              <w:jc w:val="center"/>
              <w:rPr>
                <w:b/>
                <w:bCs/>
                <w:color w:val="000000"/>
                <w:sz w:val="20"/>
                <w:szCs w:val="20"/>
              </w:rPr>
            </w:pPr>
            <w:r w:rsidRPr="00240D50">
              <w:rPr>
                <w:b/>
                <w:bCs/>
                <w:color w:val="000000"/>
                <w:sz w:val="20"/>
                <w:szCs w:val="20"/>
              </w:rPr>
              <w:t>Metodologías Propuestas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b/>
                <w:bCs/>
                <w:color w:val="000000"/>
                <w:sz w:val="20"/>
                <w:szCs w:val="20"/>
              </w:rPr>
            </w:pPr>
          </w:p>
        </w:tc>
        <w:tc>
          <w:tcPr>
            <w:tcW w:w="3780" w:type="dxa"/>
            <w:tcBorders>
              <w:top w:val="single" w:sz="4" w:space="0" w:color="auto"/>
              <w:left w:val="nil"/>
              <w:bottom w:val="nil"/>
              <w:right w:val="nil"/>
            </w:tcBorders>
          </w:tcPr>
          <w:p w:rsidR="00A03512" w:rsidRPr="00240D50" w:rsidRDefault="00A03512" w:rsidP="001E78C6">
            <w:pPr>
              <w:rPr>
                <w:color w:val="000000"/>
                <w:sz w:val="20"/>
                <w:szCs w:val="20"/>
              </w:rPr>
            </w:pP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b/>
                <w:bCs/>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Estructura poblacional de especies </w:t>
            </w:r>
            <w:r>
              <w:rPr>
                <w:color w:val="000000"/>
                <w:sz w:val="20"/>
                <w:szCs w:val="20"/>
              </w:rPr>
              <w:t>vegetales</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dominantes</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Cobertura arborea (DAP)</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Cobertura vegetal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Cobertura vegetal asociada a corrientes de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agua</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Cobertura vegetal en sistemas acuáticos</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Cobertura de especies clave</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Cobertura de especies arbustivas</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Cobertura de especies toxicas</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Exclusiones de vegetación</w:t>
            </w:r>
            <w:r>
              <w:rPr>
                <w:color w:val="000000"/>
                <w:sz w:val="20"/>
                <w:szCs w:val="20"/>
              </w:rPr>
              <w:t>,</w:t>
            </w:r>
            <w:r w:rsidRPr="00240D50">
              <w:rPr>
                <w:color w:val="000000"/>
                <w:sz w:val="20"/>
                <w:szCs w:val="20"/>
              </w:rPr>
              <w:t xml:space="preserve"> </w:t>
            </w:r>
            <w:r>
              <w:rPr>
                <w:color w:val="000000"/>
                <w:sz w:val="20"/>
                <w:szCs w:val="20"/>
              </w:rPr>
              <w:t>m</w:t>
            </w:r>
            <w:r w:rsidRPr="00240D50">
              <w:rPr>
                <w:color w:val="000000"/>
                <w:sz w:val="20"/>
                <w:szCs w:val="20"/>
              </w:rPr>
              <w:t xml:space="preserve">uestreos fijos de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b/>
                <w:bCs/>
                <w:color w:val="000000"/>
                <w:sz w:val="20"/>
                <w:szCs w:val="20"/>
              </w:rPr>
              <w:t xml:space="preserve">Integridad </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Porcentaje de sobrevivencia en el banco de </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cobertura vegetal</w:t>
            </w:r>
            <w:r>
              <w:rPr>
                <w:color w:val="000000"/>
                <w:sz w:val="20"/>
                <w:szCs w:val="20"/>
              </w:rPr>
              <w:t>,</w:t>
            </w:r>
            <w:r w:rsidRPr="00240D50">
              <w:rPr>
                <w:color w:val="000000"/>
                <w:sz w:val="20"/>
                <w:szCs w:val="20"/>
              </w:rPr>
              <w:t xml:space="preserve"> </w:t>
            </w:r>
            <w:r>
              <w:rPr>
                <w:color w:val="000000"/>
                <w:sz w:val="20"/>
                <w:szCs w:val="20"/>
              </w:rPr>
              <w:t>l</w:t>
            </w:r>
            <w:r w:rsidRPr="00240D50">
              <w:rPr>
                <w:color w:val="000000"/>
                <w:sz w:val="20"/>
                <w:szCs w:val="20"/>
              </w:rPr>
              <w:t>ínea de Canfield (1941)</w:t>
            </w:r>
            <w:r>
              <w:rPr>
                <w:color w:val="000000"/>
                <w:sz w:val="20"/>
                <w:szCs w:val="20"/>
              </w:rPr>
              <w:t>,</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b/>
                <w:bCs/>
                <w:color w:val="000000"/>
                <w:sz w:val="20"/>
                <w:szCs w:val="20"/>
              </w:rPr>
              <w:t>Biológica</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semillas después de incendios</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Pr>
                <w:color w:val="000000"/>
                <w:sz w:val="20"/>
                <w:szCs w:val="20"/>
              </w:rPr>
              <w:t>t</w:t>
            </w:r>
            <w:r w:rsidRPr="00240D50">
              <w:rPr>
                <w:color w:val="000000"/>
                <w:sz w:val="20"/>
                <w:szCs w:val="20"/>
              </w:rPr>
              <w:t>ransectos y marcaje de vegetación clave</w:t>
            </w:r>
            <w:r>
              <w:rPr>
                <w:color w:val="000000"/>
                <w:sz w:val="20"/>
                <w:szCs w:val="20"/>
              </w:rPr>
              <w:t>,</w:t>
            </w:r>
            <w:r w:rsidRPr="00240D50">
              <w:rPr>
                <w:color w:val="000000"/>
                <w:sz w:val="20"/>
                <w:szCs w:val="20"/>
              </w:rPr>
              <w:t xml:space="preserve"> </w:t>
            </w:r>
            <w:r>
              <w:rPr>
                <w:color w:val="000000"/>
                <w:sz w:val="20"/>
                <w:szCs w:val="20"/>
              </w:rPr>
              <w:t>t</w:t>
            </w:r>
            <w:r w:rsidRPr="00240D50">
              <w:rPr>
                <w:color w:val="000000"/>
                <w:sz w:val="20"/>
                <w:szCs w:val="20"/>
              </w:rPr>
              <w:t>ransectos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Fenología de especies de plantas clave</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en línea</w:t>
            </w:r>
            <w:r>
              <w:rPr>
                <w:color w:val="000000"/>
                <w:sz w:val="20"/>
                <w:szCs w:val="20"/>
              </w:rPr>
              <w:t>, m</w:t>
            </w:r>
            <w:r w:rsidRPr="00240D50">
              <w:rPr>
                <w:color w:val="000000"/>
                <w:sz w:val="20"/>
                <w:szCs w:val="20"/>
              </w:rPr>
              <w:t>onitoreo de invertebrados y vertebrados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Incidencia y dinámica de plagas y </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Pr>
                <w:color w:val="000000"/>
                <w:sz w:val="20"/>
                <w:szCs w:val="20"/>
              </w:rPr>
              <w:t>a</w:t>
            </w:r>
            <w:r w:rsidRPr="00240D50">
              <w:rPr>
                <w:color w:val="000000"/>
                <w:sz w:val="20"/>
                <w:szCs w:val="20"/>
              </w:rPr>
              <w:t>cuáticos</w:t>
            </w:r>
            <w:r>
              <w:rPr>
                <w:color w:val="000000"/>
                <w:sz w:val="20"/>
                <w:szCs w:val="20"/>
              </w:rPr>
              <w:t>,</w:t>
            </w:r>
            <w:r w:rsidRPr="00240D50">
              <w:rPr>
                <w:color w:val="000000"/>
                <w:sz w:val="20"/>
                <w:szCs w:val="20"/>
              </w:rPr>
              <w:t xml:space="preserve"> </w:t>
            </w:r>
            <w:r>
              <w:rPr>
                <w:color w:val="000000"/>
                <w:sz w:val="20"/>
                <w:szCs w:val="20"/>
              </w:rPr>
              <w:t>i</w:t>
            </w:r>
            <w:r w:rsidRPr="00240D50">
              <w:rPr>
                <w:color w:val="000000"/>
                <w:sz w:val="20"/>
                <w:szCs w:val="20"/>
              </w:rPr>
              <w:t>nventarios</w:t>
            </w:r>
            <w:r>
              <w:rPr>
                <w:color w:val="000000"/>
                <w:sz w:val="20"/>
                <w:szCs w:val="20"/>
              </w:rPr>
              <w:t xml:space="preserve"> biológicos, í</w:t>
            </w:r>
            <w:r w:rsidRPr="00240D50">
              <w:rPr>
                <w:color w:val="000000"/>
                <w:sz w:val="20"/>
                <w:szCs w:val="20"/>
              </w:rPr>
              <w:t>ndices de</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enfermedades</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biodiversidad</w:t>
            </w:r>
            <w:r>
              <w:rPr>
                <w:color w:val="000000"/>
                <w:sz w:val="20"/>
                <w:szCs w:val="20"/>
              </w:rPr>
              <w:t>, c</w:t>
            </w:r>
            <w:r w:rsidRPr="00240D50">
              <w:rPr>
                <w:color w:val="000000"/>
                <w:sz w:val="20"/>
                <w:szCs w:val="20"/>
              </w:rPr>
              <w:t>aptura-recaptura de fauna</w:t>
            </w:r>
            <w:r>
              <w:rPr>
                <w:color w:val="000000"/>
                <w:sz w:val="20"/>
                <w:szCs w:val="20"/>
              </w:rPr>
              <w:t>, r</w:t>
            </w:r>
            <w:r w:rsidRPr="00240D50">
              <w:rPr>
                <w:color w:val="000000"/>
                <w:sz w:val="20"/>
                <w:szCs w:val="20"/>
              </w:rPr>
              <w:t>edes de</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Detección de especies extra-regionales no </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Pr>
                <w:color w:val="000000"/>
                <w:sz w:val="20"/>
                <w:szCs w:val="20"/>
              </w:rPr>
              <w:t>n</w:t>
            </w:r>
            <w:r w:rsidRPr="00240D50">
              <w:rPr>
                <w:color w:val="000000"/>
                <w:sz w:val="20"/>
                <w:szCs w:val="20"/>
              </w:rPr>
              <w:t>iebla</w:t>
            </w:r>
            <w:r>
              <w:rPr>
                <w:color w:val="000000"/>
                <w:sz w:val="20"/>
                <w:szCs w:val="20"/>
              </w:rPr>
              <w:t>,</w:t>
            </w:r>
            <w:r w:rsidRPr="00240D50">
              <w:rPr>
                <w:color w:val="000000"/>
                <w:sz w:val="20"/>
                <w:szCs w:val="20"/>
              </w:rPr>
              <w:t xml:space="preserve"> </w:t>
            </w:r>
            <w:r>
              <w:rPr>
                <w:color w:val="000000"/>
                <w:sz w:val="20"/>
                <w:szCs w:val="20"/>
              </w:rPr>
              <w:t>f</w:t>
            </w:r>
            <w:r w:rsidRPr="00240D50">
              <w:rPr>
                <w:color w:val="000000"/>
                <w:sz w:val="20"/>
                <w:szCs w:val="20"/>
              </w:rPr>
              <w:t>oto-trampeo</w:t>
            </w:r>
            <w:r>
              <w:rPr>
                <w:color w:val="000000"/>
                <w:sz w:val="20"/>
                <w:szCs w:val="20"/>
              </w:rPr>
              <w:t>, t</w:t>
            </w:r>
            <w:r w:rsidRPr="00240D50">
              <w:rPr>
                <w:color w:val="000000"/>
                <w:sz w:val="20"/>
                <w:szCs w:val="20"/>
              </w:rPr>
              <w:t>ransectos de rastros de fauna</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registradas con anterioridad</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w:t>
            </w:r>
            <w:r>
              <w:rPr>
                <w:color w:val="000000"/>
                <w:sz w:val="20"/>
                <w:szCs w:val="20"/>
              </w:rPr>
              <w:t xml:space="preserve">métodos </w:t>
            </w:r>
            <w:r w:rsidRPr="00240D50">
              <w:rPr>
                <w:color w:val="000000"/>
                <w:sz w:val="20"/>
                <w:szCs w:val="20"/>
              </w:rPr>
              <w:t>indirectos)</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Desaparición de especies de distribución </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restringida</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Presencia, distribución y abundancia de</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especies exóticas</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Presencia, distribución y abundancia de</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es</w:t>
            </w:r>
            <w:r>
              <w:rPr>
                <w:color w:val="000000"/>
                <w:sz w:val="20"/>
                <w:szCs w:val="20"/>
              </w:rPr>
              <w:t>pecies exóticas presentes</w:t>
            </w:r>
            <w:r w:rsidRPr="00240D50">
              <w:rPr>
                <w:color w:val="000000"/>
                <w:sz w:val="20"/>
                <w:szCs w:val="20"/>
              </w:rPr>
              <w:t xml:space="preserve"> en el COBIO</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Detección temprana de especies exóticas</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Presencia, distribución y abundancia de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especies acuáticas</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Dinámica poblacional de especies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nativas/exóticas que compiten</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1E78C6">
            <w:pPr>
              <w:rPr>
                <w:color w:val="000000"/>
                <w:sz w:val="20"/>
                <w:szCs w:val="20"/>
              </w:rPr>
            </w:pP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single" w:sz="4" w:space="0" w:color="auto"/>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 </w:t>
            </w:r>
          </w:p>
        </w:tc>
        <w:tc>
          <w:tcPr>
            <w:tcW w:w="3780" w:type="dxa"/>
            <w:tcBorders>
              <w:top w:val="single" w:sz="4" w:space="0" w:color="auto"/>
              <w:left w:val="nil"/>
              <w:bottom w:val="nil"/>
              <w:right w:val="nil"/>
            </w:tcBorders>
            <w:noWrap/>
            <w:vAlign w:val="bottom"/>
          </w:tcPr>
          <w:p w:rsidR="00A03512" w:rsidRPr="00240D50" w:rsidRDefault="00A03512" w:rsidP="001E78C6">
            <w:pPr>
              <w:rPr>
                <w:color w:val="000000"/>
                <w:sz w:val="20"/>
                <w:szCs w:val="20"/>
              </w:rPr>
            </w:pPr>
            <w:r w:rsidRPr="00240D50">
              <w:rPr>
                <w:color w:val="000000"/>
                <w:sz w:val="20"/>
                <w:szCs w:val="20"/>
              </w:rPr>
              <w:t> </w:t>
            </w:r>
          </w:p>
        </w:tc>
        <w:tc>
          <w:tcPr>
            <w:tcW w:w="4505" w:type="dxa"/>
            <w:tcBorders>
              <w:top w:val="single" w:sz="4" w:space="0" w:color="auto"/>
              <w:left w:val="nil"/>
              <w:bottom w:val="nil"/>
              <w:right w:val="nil"/>
            </w:tcBorders>
            <w:noWrap/>
            <w:vAlign w:val="bottom"/>
          </w:tcPr>
          <w:p w:rsidR="00A03512" w:rsidRPr="00240D50" w:rsidRDefault="00A03512" w:rsidP="001E78C6">
            <w:pPr>
              <w:rPr>
                <w:color w:val="000000"/>
                <w:sz w:val="20"/>
                <w:szCs w:val="20"/>
              </w:rPr>
            </w:pPr>
            <w:r w:rsidRPr="00240D50">
              <w:rPr>
                <w:color w:val="000000"/>
                <w:sz w:val="20"/>
                <w:szCs w:val="20"/>
              </w:rPr>
              <w:t>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b/>
                <w:bCs/>
                <w:color w:val="000000"/>
                <w:sz w:val="20"/>
                <w:szCs w:val="20"/>
              </w:rPr>
            </w:pPr>
            <w:r w:rsidRPr="00240D50">
              <w:rPr>
                <w:b/>
                <w:bCs/>
                <w:color w:val="000000"/>
                <w:sz w:val="20"/>
                <w:szCs w:val="20"/>
              </w:rPr>
              <w:t>Uso del Suelo</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Volúmenes de extracción de cera de </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Exclusiones, puntos fijos de observación fotográfica</w:t>
            </w:r>
            <w:r>
              <w:rPr>
                <w:color w:val="000000"/>
                <w:sz w:val="20"/>
                <w:szCs w:val="20"/>
              </w:rPr>
              <w:t>,</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candelilla</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Pr>
                <w:color w:val="000000"/>
                <w:sz w:val="20"/>
                <w:szCs w:val="20"/>
              </w:rPr>
              <w:t>l</w:t>
            </w:r>
            <w:r w:rsidRPr="00240D50">
              <w:rPr>
                <w:color w:val="000000"/>
                <w:sz w:val="20"/>
                <w:szCs w:val="20"/>
              </w:rPr>
              <w:t>evantamientos de inventario ganadero</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nil"/>
              <w:right w:val="nil"/>
            </w:tcBorders>
            <w:noWrap/>
            <w:vAlign w:val="bottom"/>
          </w:tcPr>
          <w:p w:rsidR="00A03512" w:rsidRPr="00240D50" w:rsidRDefault="00A03512" w:rsidP="001E78C6">
            <w:pPr>
              <w:rPr>
                <w:color w:val="000000"/>
                <w:sz w:val="20"/>
                <w:szCs w:val="20"/>
              </w:rPr>
            </w:pPr>
            <w:r w:rsidRPr="00240D50">
              <w:rPr>
                <w:color w:val="000000"/>
                <w:sz w:val="20"/>
                <w:szCs w:val="20"/>
              </w:rPr>
              <w:t>Carga animal</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single" w:sz="4" w:space="0" w:color="auto"/>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 </w:t>
            </w:r>
          </w:p>
        </w:tc>
        <w:tc>
          <w:tcPr>
            <w:tcW w:w="3780" w:type="dxa"/>
            <w:tcBorders>
              <w:top w:val="single" w:sz="4" w:space="0" w:color="auto"/>
              <w:left w:val="nil"/>
              <w:bottom w:val="nil"/>
              <w:right w:val="nil"/>
            </w:tcBorders>
            <w:noWrap/>
            <w:vAlign w:val="bottom"/>
          </w:tcPr>
          <w:p w:rsidR="00A03512" w:rsidRPr="00240D50" w:rsidRDefault="00A03512" w:rsidP="001E78C6">
            <w:pPr>
              <w:rPr>
                <w:color w:val="000000"/>
                <w:sz w:val="20"/>
                <w:szCs w:val="20"/>
              </w:rPr>
            </w:pPr>
            <w:r w:rsidRPr="00240D50">
              <w:rPr>
                <w:color w:val="000000"/>
                <w:sz w:val="20"/>
                <w:szCs w:val="20"/>
              </w:rPr>
              <w:t> </w:t>
            </w:r>
          </w:p>
        </w:tc>
        <w:tc>
          <w:tcPr>
            <w:tcW w:w="4505" w:type="dxa"/>
            <w:tcBorders>
              <w:top w:val="single" w:sz="4" w:space="0" w:color="auto"/>
              <w:left w:val="nil"/>
              <w:bottom w:val="nil"/>
              <w:right w:val="nil"/>
            </w:tcBorders>
            <w:noWrap/>
            <w:vAlign w:val="bottom"/>
          </w:tcPr>
          <w:p w:rsidR="00A03512" w:rsidRPr="00240D50" w:rsidRDefault="00A03512" w:rsidP="001E78C6">
            <w:pPr>
              <w:rPr>
                <w:color w:val="000000"/>
                <w:sz w:val="20"/>
                <w:szCs w:val="20"/>
              </w:rPr>
            </w:pPr>
            <w:r w:rsidRPr="00240D50">
              <w:rPr>
                <w:color w:val="000000"/>
                <w:sz w:val="20"/>
                <w:szCs w:val="20"/>
              </w:rPr>
              <w:t> </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b/>
                <w:bCs/>
                <w:color w:val="000000"/>
                <w:sz w:val="20"/>
                <w:szCs w:val="20"/>
              </w:rPr>
            </w:pPr>
            <w:r w:rsidRPr="00240D50">
              <w:rPr>
                <w:b/>
                <w:bCs/>
                <w:color w:val="000000"/>
                <w:sz w:val="20"/>
                <w:szCs w:val="20"/>
              </w:rPr>
              <w:t xml:space="preserve">Paisaje </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Régimen de fuego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b/>
                <w:bCs/>
                <w:color w:val="000000"/>
                <w:sz w:val="20"/>
                <w:szCs w:val="20"/>
              </w:rPr>
            </w:pPr>
            <w:r w:rsidRPr="00240D50">
              <w:rPr>
                <w:b/>
                <w:bCs/>
                <w:color w:val="000000"/>
                <w:sz w:val="20"/>
                <w:szCs w:val="20"/>
              </w:rPr>
              <w:t xml:space="preserve">(patrones y </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Cargas de combustible</w:t>
            </w:r>
          </w:p>
        </w:tc>
        <w:tc>
          <w:tcPr>
            <w:tcW w:w="4505"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color w:val="000000"/>
                <w:sz w:val="20"/>
                <w:szCs w:val="20"/>
              </w:rPr>
              <w:t>Análisis por sensores remotos  y SIG</w:t>
            </w:r>
          </w:p>
        </w:tc>
      </w:tr>
      <w:tr w:rsidR="00A03512" w:rsidRPr="00240D50">
        <w:trPr>
          <w:trHeight w:val="158"/>
        </w:trPr>
        <w:tc>
          <w:tcPr>
            <w:tcW w:w="1363" w:type="dxa"/>
            <w:tcBorders>
              <w:top w:val="nil"/>
              <w:left w:val="nil"/>
              <w:bottom w:val="nil"/>
              <w:right w:val="nil"/>
            </w:tcBorders>
            <w:noWrap/>
            <w:vAlign w:val="bottom"/>
          </w:tcPr>
          <w:p w:rsidR="00A03512" w:rsidRPr="00240D50" w:rsidRDefault="00A03512" w:rsidP="001E78C6">
            <w:pPr>
              <w:jc w:val="center"/>
              <w:rPr>
                <w:color w:val="000000"/>
                <w:sz w:val="20"/>
                <w:szCs w:val="20"/>
              </w:rPr>
            </w:pPr>
            <w:r w:rsidRPr="00240D50">
              <w:rPr>
                <w:b/>
                <w:bCs/>
                <w:color w:val="000000"/>
                <w:sz w:val="20"/>
                <w:szCs w:val="20"/>
              </w:rPr>
              <w:t>dinámicas)</w:t>
            </w:r>
          </w:p>
        </w:tc>
        <w:tc>
          <w:tcPr>
            <w:tcW w:w="3780" w:type="dxa"/>
            <w:tcBorders>
              <w:top w:val="nil"/>
              <w:left w:val="nil"/>
              <w:bottom w:val="nil"/>
              <w:right w:val="nil"/>
            </w:tcBorders>
          </w:tcPr>
          <w:p w:rsidR="00A03512" w:rsidRPr="00240D50" w:rsidRDefault="00A03512" w:rsidP="001E78C6">
            <w:pPr>
              <w:rPr>
                <w:color w:val="000000"/>
                <w:sz w:val="20"/>
                <w:szCs w:val="20"/>
              </w:rPr>
            </w:pPr>
            <w:r w:rsidRPr="00240D50">
              <w:rPr>
                <w:color w:val="000000"/>
                <w:sz w:val="20"/>
                <w:szCs w:val="20"/>
              </w:rPr>
              <w:t xml:space="preserve">Cobertura vegetal </w:t>
            </w:r>
          </w:p>
        </w:tc>
        <w:tc>
          <w:tcPr>
            <w:tcW w:w="4505" w:type="dxa"/>
            <w:tcBorders>
              <w:top w:val="nil"/>
              <w:left w:val="nil"/>
              <w:bottom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right w:val="nil"/>
            </w:tcBorders>
          </w:tcPr>
          <w:p w:rsidR="00A03512" w:rsidRPr="00240D50" w:rsidRDefault="00A03512" w:rsidP="001E78C6">
            <w:pPr>
              <w:rPr>
                <w:color w:val="000000"/>
                <w:sz w:val="20"/>
                <w:szCs w:val="20"/>
              </w:rPr>
            </w:pPr>
            <w:r w:rsidRPr="00240D50">
              <w:rPr>
                <w:color w:val="000000"/>
                <w:sz w:val="20"/>
                <w:szCs w:val="20"/>
              </w:rPr>
              <w:t>Tasa de cambio de uso del suelo</w:t>
            </w:r>
          </w:p>
        </w:tc>
        <w:tc>
          <w:tcPr>
            <w:tcW w:w="4505" w:type="dxa"/>
            <w:tcBorders>
              <w:top w:val="nil"/>
              <w:left w:val="nil"/>
              <w:right w:val="nil"/>
            </w:tcBorders>
            <w:noWrap/>
            <w:vAlign w:val="bottom"/>
          </w:tcPr>
          <w:p w:rsidR="00A03512" w:rsidRPr="00240D50" w:rsidRDefault="00A03512" w:rsidP="001E78C6">
            <w:pPr>
              <w:rPr>
                <w:color w:val="000000"/>
                <w:sz w:val="20"/>
                <w:szCs w:val="20"/>
              </w:rPr>
            </w:pPr>
          </w:p>
        </w:tc>
      </w:tr>
      <w:tr w:rsidR="00A03512" w:rsidRPr="00240D50">
        <w:trPr>
          <w:trHeight w:val="158"/>
        </w:trPr>
        <w:tc>
          <w:tcPr>
            <w:tcW w:w="1363" w:type="dxa"/>
            <w:tcBorders>
              <w:top w:val="nil"/>
              <w:left w:val="nil"/>
              <w:bottom w:val="single" w:sz="4" w:space="0" w:color="auto"/>
              <w:right w:val="nil"/>
            </w:tcBorders>
            <w:noWrap/>
            <w:vAlign w:val="bottom"/>
          </w:tcPr>
          <w:p w:rsidR="00A03512" w:rsidRPr="00240D50" w:rsidRDefault="00A03512" w:rsidP="001E78C6">
            <w:pPr>
              <w:jc w:val="center"/>
              <w:rPr>
                <w:color w:val="000000"/>
                <w:sz w:val="20"/>
                <w:szCs w:val="20"/>
              </w:rPr>
            </w:pPr>
          </w:p>
        </w:tc>
        <w:tc>
          <w:tcPr>
            <w:tcW w:w="3780" w:type="dxa"/>
            <w:tcBorders>
              <w:top w:val="nil"/>
              <w:left w:val="nil"/>
              <w:bottom w:val="single" w:sz="4" w:space="0" w:color="auto"/>
              <w:right w:val="nil"/>
            </w:tcBorders>
          </w:tcPr>
          <w:p w:rsidR="00A03512" w:rsidRPr="00240D50" w:rsidRDefault="00A03512" w:rsidP="001E78C6">
            <w:pPr>
              <w:rPr>
                <w:color w:val="000000"/>
                <w:sz w:val="20"/>
                <w:szCs w:val="20"/>
              </w:rPr>
            </w:pPr>
          </w:p>
        </w:tc>
        <w:tc>
          <w:tcPr>
            <w:tcW w:w="4505" w:type="dxa"/>
            <w:tcBorders>
              <w:top w:val="nil"/>
              <w:left w:val="nil"/>
              <w:bottom w:val="single" w:sz="4" w:space="0" w:color="auto"/>
              <w:right w:val="nil"/>
            </w:tcBorders>
            <w:noWrap/>
            <w:vAlign w:val="bottom"/>
          </w:tcPr>
          <w:p w:rsidR="00A03512" w:rsidRPr="00240D50" w:rsidRDefault="00A03512" w:rsidP="001E78C6">
            <w:pPr>
              <w:rPr>
                <w:color w:val="000000"/>
                <w:sz w:val="20"/>
                <w:szCs w:val="20"/>
              </w:rPr>
            </w:pPr>
          </w:p>
        </w:tc>
      </w:tr>
    </w:tbl>
    <w:p w:rsidR="00A03512" w:rsidRDefault="00A03512" w:rsidP="003B71D4">
      <w:pPr>
        <w:spacing w:line="360" w:lineRule="auto"/>
        <w:rPr>
          <w:b/>
          <w:bCs/>
        </w:rPr>
      </w:pPr>
    </w:p>
    <w:p w:rsidR="00A03512" w:rsidRDefault="00A03512">
      <w:pPr>
        <w:spacing w:after="200" w:line="276" w:lineRule="auto"/>
        <w:rPr>
          <w:b/>
          <w:bCs/>
        </w:rPr>
      </w:pPr>
      <w:r>
        <w:rPr>
          <w:b/>
          <w:bCs/>
        </w:rPr>
        <w:br w:type="page"/>
      </w:r>
    </w:p>
    <w:p w:rsidR="00A03512" w:rsidRDefault="00A03512" w:rsidP="00CC3119">
      <w:pPr>
        <w:spacing w:line="360" w:lineRule="auto"/>
      </w:pPr>
      <w:r>
        <w:pict>
          <v:rect id="_x0000_i1030" style="width:468pt;height:6pt" o:hralign="center" o:hrstd="t" o:hrnoshade="t" o:hr="t" fillcolor="#17365d" stroked="f"/>
        </w:pict>
      </w:r>
    </w:p>
    <w:p w:rsidR="00A03512" w:rsidRPr="009655BA" w:rsidRDefault="00A03512" w:rsidP="00CC3119">
      <w:pPr>
        <w:pBdr>
          <w:bottom w:val="single" w:sz="4" w:space="1" w:color="auto"/>
        </w:pBdr>
        <w:spacing w:line="360" w:lineRule="auto"/>
        <w:rPr>
          <w:b/>
          <w:bCs/>
          <w:sz w:val="32"/>
          <w:szCs w:val="32"/>
        </w:rPr>
      </w:pPr>
      <w:r>
        <w:rPr>
          <w:b/>
          <w:bCs/>
          <w:sz w:val="32"/>
          <w:szCs w:val="32"/>
        </w:rPr>
        <w:t>Recomendaciones Técnicas</w:t>
      </w:r>
    </w:p>
    <w:p w:rsidR="00A03512" w:rsidRDefault="00A03512" w:rsidP="000164F6">
      <w:pPr>
        <w:spacing w:line="360" w:lineRule="auto"/>
        <w:rPr>
          <w:b/>
          <w:bCs/>
        </w:rPr>
      </w:pPr>
    </w:p>
    <w:p w:rsidR="00A03512" w:rsidRDefault="00A03512" w:rsidP="000164F6">
      <w:pPr>
        <w:spacing w:line="360" w:lineRule="auto"/>
      </w:pPr>
      <w:r>
        <w:t>La implementación de un sistema regional de monitoreo estandarizado que permita a las áreas protegidas del COBIO tomar decisiones de manejo y medidas de adaptación y mitigación al cambio climático representa una visión a largo plazo. El presente documento incorpora los resultados de talleres realizados en 2011 y es un primer borrador de un manual de monitoreo que deberá editarse con la participación activa del personal de CONANP, organizaciones de la sociedad civil, y de investigadores, bajo la dirección del Comité de Monitores de Signos Vitales. La función de este comité es la de asegurar la continuidad en los esfuerzos para lograr la vison de largo plazo, que incluyen a gestionar fondos, supervisar talleres y reuniones, así como la edición de los documentos generados. Para enriquecer este borrador y continuar con los esfuerzos para la implementación en campo del mismo se hacen las siguientes recomendaciones:</w:t>
      </w:r>
    </w:p>
    <w:p w:rsidR="00A03512" w:rsidRDefault="00A03512" w:rsidP="000164F6">
      <w:pPr>
        <w:spacing w:line="360" w:lineRule="auto"/>
      </w:pPr>
    </w:p>
    <w:p w:rsidR="00A03512" w:rsidRDefault="00A03512" w:rsidP="00327655">
      <w:pPr>
        <w:pStyle w:val="ListParagraph"/>
        <w:numPr>
          <w:ilvl w:val="0"/>
          <w:numId w:val="13"/>
        </w:numPr>
        <w:spacing w:line="360" w:lineRule="auto"/>
      </w:pPr>
      <w:r w:rsidRPr="00327655">
        <w:t xml:space="preserve">Desarrollar </w:t>
      </w:r>
      <w:r>
        <w:t xml:space="preserve">con un mayor detalle </w:t>
      </w:r>
      <w:r w:rsidRPr="00327655">
        <w:t>los modelos conceptuales de los ecosistemas del COBIO</w:t>
      </w:r>
      <w:r>
        <w:t>. Los modelos conceptuales contenidos en este borrador necesitan describir con mayor precisión a los controles interactivos y los</w:t>
      </w:r>
      <w:r w:rsidRPr="00327655">
        <w:t xml:space="preserve"> </w:t>
      </w:r>
      <w:r>
        <w:t>procesos ecosistemicos clave, para lo cual se pueden utilizar modelos esquemáticos donde se incorpore también al papel de las fuentes de estrés identificadas. Esta descripción más detallada deberá incluir mapas donde se localicen a los ecosistemas ya definidos, así como le de un contexto geográfico a las diferentes actividades humanas que son fuente de estrés. Esta mayor resolución y contexto geográfico finalmente facilitara a la planificación de esquemas de muestreo en campo de los signos vitales, considerando que los ecosistemas del COBIO representan un mosaico en el paisaje con diferentes tipos de tenencia y uso del suelo.</w:t>
      </w:r>
    </w:p>
    <w:p w:rsidR="00A03512" w:rsidRDefault="00A03512" w:rsidP="00327655">
      <w:pPr>
        <w:pStyle w:val="ListParagraph"/>
        <w:numPr>
          <w:ilvl w:val="0"/>
          <w:numId w:val="13"/>
        </w:numPr>
        <w:spacing w:line="360" w:lineRule="auto"/>
      </w:pPr>
      <w:r>
        <w:t>Realizar un análisis de los signos vitales potenciales identificados en este documento donde se describan y clasifiquen de acuerdo a sus cualidades como facilidad de medición, sensibilidad al cambio, relación costo-beneficio, periodicidad de la medición, entre otros. Asimismo, el análisis deberá considerar a los signos vitales que fueron seleccionados por la red de parques del desierto Chihuahuense de los Estados Unidos, así como de otros indicadores que son medidos por investigadores y programas de monitoreo ya establecidos (como la Red Mexicana de Investigación Ecológica a Largo Plazo, LTER). El análisis de bebe terminar con una clasificación de signos vitales que sirva para listarlos por orden de prioridad, seleccionando así solo a un grupo de signos vitales que serán medidos permanentemente en las áreas protegidas del COBIO. Para este análisis y selección final de signos vitales se deberá contar con la participación activa de los manejadores de recursos naturales de las áreas protegidas y la supervisión del comité de monitoreo.</w:t>
      </w:r>
    </w:p>
    <w:p w:rsidR="00A03512" w:rsidRDefault="00A03512" w:rsidP="00327655">
      <w:pPr>
        <w:pStyle w:val="ListParagraph"/>
        <w:numPr>
          <w:ilvl w:val="0"/>
          <w:numId w:val="13"/>
        </w:numPr>
        <w:spacing w:line="360" w:lineRule="auto"/>
      </w:pPr>
      <w:r>
        <w:t xml:space="preserve">Establecer los diseños de muestreo en campo para los signos vitales. Una vez seleccionados los signos vitales se deberán desarrollar esquemas para su medición en campo, utilizando metodologías que sean estandarizadas y donde se incluyan cronogramas de actividades. Estos diseños de muestreo deberán también incluir las estrategias de financiamiento para llevar a cabo los muestreos, donde se puede contar con la participación de investigadores e instituciones de enseñanza interesadas en la recolección de datos de campo. </w:t>
      </w:r>
    </w:p>
    <w:p w:rsidR="00A03512" w:rsidRPr="00143B49" w:rsidRDefault="00A03512" w:rsidP="000164F6">
      <w:pPr>
        <w:pStyle w:val="ListParagraph"/>
        <w:numPr>
          <w:ilvl w:val="0"/>
          <w:numId w:val="13"/>
        </w:numPr>
        <w:spacing w:line="360" w:lineRule="auto"/>
        <w:rPr>
          <w:b/>
          <w:bCs/>
        </w:rPr>
      </w:pPr>
      <w:r>
        <w:t>Diseñar una estrategia para el almacenamiento, procesamiento y difusión de los datos generados por el monitoreo de signos vitales. Difícilmente se alcanzaran los objetivos finales del monitoreo de signos vitales, de servir como fuente de información para la toma de decisiones de manejo si no se cuenta con un sistema que almacene, organice, y haga disponible los datos para su interpretación por todos los actores involucrados. Este sistema será más efectivo si cuenta con una plataforma electrónica a la que se pueda acceder por internet ya sea en su propia plataforma o bien sumándose a sistemas ya existentes como el SIMEC de la CONANP, bases de datos de la CONABIO, o de instituciones de investigación ya existentes.</w:t>
      </w:r>
      <w:r w:rsidRPr="00143B49">
        <w:rPr>
          <w:b/>
          <w:bCs/>
        </w:rPr>
        <w:br w:type="page"/>
      </w:r>
    </w:p>
    <w:p w:rsidR="00A03512" w:rsidRPr="00327655" w:rsidRDefault="00A03512" w:rsidP="003B71D4">
      <w:pPr>
        <w:tabs>
          <w:tab w:val="left" w:pos="2598"/>
        </w:tabs>
        <w:spacing w:line="360" w:lineRule="auto"/>
        <w:rPr>
          <w:b/>
          <w:bCs/>
        </w:rPr>
      </w:pPr>
    </w:p>
    <w:p w:rsidR="00A03512" w:rsidRPr="00311487" w:rsidRDefault="00A03512" w:rsidP="003B71D4">
      <w:pPr>
        <w:spacing w:line="360" w:lineRule="auto"/>
      </w:pPr>
      <w:r>
        <w:pict>
          <v:rect id="_x0000_i1031" style="width:468pt;height:6pt" o:hralign="center" o:hrstd="t" o:hrnoshade="t" o:hr="t" fillcolor="#17365d" stroked="f"/>
        </w:pict>
      </w:r>
    </w:p>
    <w:p w:rsidR="00A03512" w:rsidRPr="00311487" w:rsidRDefault="00A03512" w:rsidP="003B71D4">
      <w:pPr>
        <w:pBdr>
          <w:bottom w:val="single" w:sz="4" w:space="1" w:color="auto"/>
        </w:pBdr>
        <w:spacing w:line="360" w:lineRule="auto"/>
        <w:rPr>
          <w:b/>
          <w:bCs/>
          <w:sz w:val="32"/>
          <w:szCs w:val="32"/>
        </w:rPr>
      </w:pPr>
      <w:r w:rsidRPr="00311487">
        <w:rPr>
          <w:b/>
          <w:bCs/>
          <w:sz w:val="32"/>
          <w:szCs w:val="32"/>
        </w:rPr>
        <w:t>Literatura citada</w:t>
      </w:r>
    </w:p>
    <w:p w:rsidR="00A03512" w:rsidRPr="00311487" w:rsidRDefault="00A03512" w:rsidP="003B71D4">
      <w:pPr>
        <w:tabs>
          <w:tab w:val="left" w:pos="2598"/>
        </w:tabs>
        <w:spacing w:line="360" w:lineRule="auto"/>
      </w:pPr>
    </w:p>
    <w:p w:rsidR="00A03512" w:rsidRPr="00311487" w:rsidRDefault="00A03512" w:rsidP="003B71D4">
      <w:pPr>
        <w:tabs>
          <w:tab w:val="left" w:pos="2598"/>
        </w:tabs>
        <w:spacing w:line="360" w:lineRule="auto"/>
      </w:pPr>
    </w:p>
    <w:p w:rsidR="00A03512" w:rsidRDefault="00A03512" w:rsidP="00635ACD">
      <w:pPr>
        <w:autoSpaceDE w:val="0"/>
        <w:autoSpaceDN w:val="0"/>
        <w:adjustRightInd w:val="0"/>
        <w:spacing w:line="360" w:lineRule="auto"/>
        <w:rPr>
          <w:lang w:val="en-US" w:eastAsia="es-ES"/>
        </w:rPr>
      </w:pPr>
      <w:r w:rsidRPr="00311487">
        <w:rPr>
          <w:lang w:eastAsia="es-ES"/>
        </w:rPr>
        <w:t>Becker, J. C., A. W. Groeger, W. H. Nowlin, M. M. Chumcha</w:t>
      </w:r>
      <w:r>
        <w:rPr>
          <w:lang w:val="en-US" w:eastAsia="es-ES"/>
        </w:rPr>
        <w:t xml:space="preserve">l, and D. Hahn.  2011.  Spatial </w:t>
      </w:r>
    </w:p>
    <w:p w:rsidR="00A03512" w:rsidRDefault="00A03512" w:rsidP="00CC109C">
      <w:pPr>
        <w:autoSpaceDE w:val="0"/>
        <w:autoSpaceDN w:val="0"/>
        <w:adjustRightInd w:val="0"/>
        <w:spacing w:line="360" w:lineRule="auto"/>
        <w:ind w:firstLine="720"/>
        <w:rPr>
          <w:lang w:val="en-US" w:eastAsia="es-ES"/>
        </w:rPr>
      </w:pPr>
      <w:r>
        <w:rPr>
          <w:lang w:val="en-US" w:eastAsia="es-ES"/>
        </w:rPr>
        <w:t xml:space="preserve">variability in the speciation and bioaccumulation of mercury in an arid subtropical </w:t>
      </w:r>
    </w:p>
    <w:p w:rsidR="00A03512" w:rsidRDefault="00A03512" w:rsidP="00CC109C">
      <w:pPr>
        <w:autoSpaceDE w:val="0"/>
        <w:autoSpaceDN w:val="0"/>
        <w:adjustRightInd w:val="0"/>
        <w:spacing w:line="360" w:lineRule="auto"/>
        <w:ind w:firstLine="720"/>
        <w:rPr>
          <w:lang w:val="en-US" w:eastAsia="es-ES"/>
        </w:rPr>
      </w:pPr>
      <w:r>
        <w:rPr>
          <w:lang w:val="en-US" w:eastAsia="es-ES"/>
        </w:rPr>
        <w:t>reservoir ecosystem.  Environmental Toxicology and Chemistry 30:2300-2311.</w:t>
      </w:r>
    </w:p>
    <w:p w:rsidR="00A03512" w:rsidRDefault="00A03512" w:rsidP="00635ACD">
      <w:pPr>
        <w:autoSpaceDE w:val="0"/>
        <w:autoSpaceDN w:val="0"/>
        <w:adjustRightInd w:val="0"/>
        <w:spacing w:line="360" w:lineRule="auto"/>
        <w:rPr>
          <w:lang w:val="en-US" w:eastAsia="es-ES"/>
        </w:rPr>
      </w:pPr>
      <w:r w:rsidRPr="000039A6">
        <w:rPr>
          <w:lang w:val="en-US" w:eastAsia="es-ES"/>
        </w:rPr>
        <w:t>Camp, A.</w:t>
      </w:r>
      <w:r w:rsidRPr="00AD1A26">
        <w:rPr>
          <w:lang w:val="en-US" w:eastAsia="es-ES"/>
        </w:rPr>
        <w:t xml:space="preserve">, H. M. Poulos, R. Gatewood, J. Sirotnak, and J. Karges. 2006. Assessment of top down </w:t>
      </w:r>
    </w:p>
    <w:p w:rsidR="00A03512" w:rsidRDefault="00A03512" w:rsidP="00635ACD">
      <w:pPr>
        <w:autoSpaceDE w:val="0"/>
        <w:autoSpaceDN w:val="0"/>
        <w:adjustRightInd w:val="0"/>
        <w:spacing w:line="360" w:lineRule="auto"/>
        <w:ind w:firstLine="720"/>
        <w:rPr>
          <w:lang w:val="en-US" w:eastAsia="es-ES"/>
        </w:rPr>
      </w:pPr>
      <w:r>
        <w:rPr>
          <w:lang w:val="en-US" w:eastAsia="es-ES"/>
        </w:rPr>
        <w:t>a</w:t>
      </w:r>
      <w:r w:rsidRPr="00AD1A26">
        <w:rPr>
          <w:lang w:val="en-US" w:eastAsia="es-ES"/>
        </w:rPr>
        <w:t>nd</w:t>
      </w:r>
      <w:r>
        <w:rPr>
          <w:lang w:val="en-US" w:eastAsia="es-ES"/>
        </w:rPr>
        <w:t xml:space="preserve"> </w:t>
      </w:r>
      <w:r w:rsidRPr="00AD1A26">
        <w:rPr>
          <w:lang w:val="en-US" w:eastAsia="es-ES"/>
        </w:rPr>
        <w:t xml:space="preserve">bottom up controls on fire regimes and vegetation abundance and distribution </w:t>
      </w:r>
    </w:p>
    <w:p w:rsidR="00A03512" w:rsidRDefault="00A03512" w:rsidP="00635ACD">
      <w:pPr>
        <w:autoSpaceDE w:val="0"/>
        <w:autoSpaceDN w:val="0"/>
        <w:adjustRightInd w:val="0"/>
        <w:spacing w:line="360" w:lineRule="auto"/>
        <w:ind w:firstLine="720"/>
        <w:rPr>
          <w:lang w:val="en-US" w:eastAsia="es-ES"/>
        </w:rPr>
      </w:pPr>
      <w:r w:rsidRPr="00AD1A26">
        <w:rPr>
          <w:lang w:val="en-US" w:eastAsia="es-ES"/>
        </w:rPr>
        <w:t>patterns in the</w:t>
      </w:r>
      <w:r>
        <w:rPr>
          <w:lang w:val="en-US" w:eastAsia="es-ES"/>
        </w:rPr>
        <w:t xml:space="preserve"> </w:t>
      </w:r>
      <w:r w:rsidRPr="00AD1A26">
        <w:rPr>
          <w:lang w:val="en-US" w:eastAsia="es-ES"/>
        </w:rPr>
        <w:t xml:space="preserve">Chihuahuan Desert borderlands: A hierarchical approach. Final report to </w:t>
      </w:r>
    </w:p>
    <w:p w:rsidR="00A03512" w:rsidRPr="00635ACD" w:rsidRDefault="00A03512" w:rsidP="00635ACD">
      <w:pPr>
        <w:autoSpaceDE w:val="0"/>
        <w:autoSpaceDN w:val="0"/>
        <w:adjustRightInd w:val="0"/>
        <w:spacing w:line="360" w:lineRule="auto"/>
        <w:ind w:firstLine="720"/>
        <w:rPr>
          <w:lang w:val="en-US" w:eastAsia="es-ES"/>
        </w:rPr>
      </w:pPr>
      <w:r w:rsidRPr="00635ACD">
        <w:rPr>
          <w:lang w:val="en-US" w:eastAsia="es-ES"/>
        </w:rPr>
        <w:t>the Joint Fire Science Program, Project #03-3-3-13.</w:t>
      </w:r>
    </w:p>
    <w:p w:rsidR="00A03512" w:rsidRPr="00A621F2" w:rsidRDefault="00A03512" w:rsidP="00A621F2">
      <w:pPr>
        <w:autoSpaceDE w:val="0"/>
        <w:autoSpaceDN w:val="0"/>
        <w:adjustRightInd w:val="0"/>
        <w:spacing w:line="360" w:lineRule="auto"/>
        <w:jc w:val="both"/>
      </w:pPr>
      <w:r w:rsidRPr="00C813A3">
        <w:rPr>
          <w:lang w:val="en-US"/>
        </w:rPr>
        <w:t xml:space="preserve">Carrera, J. A.  </w:t>
      </w:r>
      <w:r>
        <w:t>1993</w:t>
      </w:r>
      <w:r w:rsidRPr="00A621F2">
        <w:t xml:space="preserve">. </w:t>
      </w:r>
      <w:r>
        <w:t xml:space="preserve"> </w:t>
      </w:r>
      <w:r w:rsidRPr="00A621F2">
        <w:t>Alternativas para el uso de los recursos naturales en la región entre</w:t>
      </w:r>
    </w:p>
    <w:p w:rsidR="00A03512" w:rsidRPr="00A621F2" w:rsidRDefault="00A03512" w:rsidP="00A621F2">
      <w:pPr>
        <w:autoSpaceDE w:val="0"/>
        <w:autoSpaceDN w:val="0"/>
        <w:adjustRightInd w:val="0"/>
        <w:spacing w:line="360" w:lineRule="auto"/>
        <w:ind w:firstLine="720"/>
        <w:jc w:val="both"/>
      </w:pPr>
      <w:r w:rsidRPr="00A621F2">
        <w:t>Santa Elena y Boquillas, México. Acuerdo Cooperativo No. CA7029-2-0004 entre Big</w:t>
      </w:r>
    </w:p>
    <w:p w:rsidR="00A03512" w:rsidRDefault="00A03512" w:rsidP="00A621F2">
      <w:pPr>
        <w:autoSpaceDE w:val="0"/>
        <w:autoSpaceDN w:val="0"/>
        <w:adjustRightInd w:val="0"/>
        <w:spacing w:line="360" w:lineRule="auto"/>
        <w:ind w:firstLine="720"/>
        <w:jc w:val="both"/>
        <w:rPr>
          <w:lang w:val="en-US"/>
        </w:rPr>
      </w:pPr>
      <w:r w:rsidRPr="00A621F2">
        <w:rPr>
          <w:lang w:val="en-US"/>
        </w:rPr>
        <w:t>Bend National Park, Sul Ross State University y Profauna A. C.</w:t>
      </w:r>
    </w:p>
    <w:p w:rsidR="00A03512" w:rsidRDefault="00A03512" w:rsidP="00635ACD">
      <w:pPr>
        <w:autoSpaceDE w:val="0"/>
        <w:autoSpaceDN w:val="0"/>
        <w:adjustRightInd w:val="0"/>
        <w:spacing w:line="360" w:lineRule="auto"/>
        <w:jc w:val="both"/>
      </w:pPr>
      <w:r w:rsidRPr="00A621F2">
        <w:t xml:space="preserve">Carrera-Treviño, R. </w:t>
      </w:r>
      <w:r>
        <w:t xml:space="preserve"> </w:t>
      </w:r>
      <w:r w:rsidRPr="00A621F2">
        <w:t xml:space="preserve">1998.  </w:t>
      </w:r>
      <w:r w:rsidRPr="00635ACD">
        <w:t xml:space="preserve">Análisis de la producción pecuaria y condición del pastizal de dos </w:t>
      </w:r>
    </w:p>
    <w:p w:rsidR="00A03512" w:rsidRDefault="00A03512" w:rsidP="00635ACD">
      <w:pPr>
        <w:autoSpaceDE w:val="0"/>
        <w:autoSpaceDN w:val="0"/>
        <w:adjustRightInd w:val="0"/>
        <w:spacing w:line="360" w:lineRule="auto"/>
        <w:ind w:firstLine="708"/>
        <w:jc w:val="both"/>
      </w:pPr>
      <w:r w:rsidRPr="00635ACD">
        <w:t>ejidos en el</w:t>
      </w:r>
      <w:r>
        <w:t xml:space="preserve"> </w:t>
      </w:r>
      <w:r w:rsidRPr="00635ACD">
        <w:t xml:space="preserve">Área de Protección de Flora y Fauna Maderas del Carmen, Coahuila, México. </w:t>
      </w:r>
    </w:p>
    <w:p w:rsidR="00A03512" w:rsidRDefault="00A03512" w:rsidP="00635ACD">
      <w:pPr>
        <w:autoSpaceDE w:val="0"/>
        <w:autoSpaceDN w:val="0"/>
        <w:adjustRightInd w:val="0"/>
        <w:spacing w:line="360" w:lineRule="auto"/>
        <w:ind w:firstLine="708"/>
        <w:jc w:val="both"/>
      </w:pPr>
      <w:r w:rsidRPr="00635ACD">
        <w:t>Tesis de</w:t>
      </w:r>
      <w:r>
        <w:t xml:space="preserve"> </w:t>
      </w:r>
      <w:r w:rsidRPr="00635ACD">
        <w:t xml:space="preserve">licenciatura. Universidad Autónoma Agraria Antonio Narro, Buenavista, </w:t>
      </w:r>
    </w:p>
    <w:p w:rsidR="00A03512" w:rsidRPr="00F57FEE" w:rsidRDefault="00A03512" w:rsidP="00635ACD">
      <w:pPr>
        <w:autoSpaceDE w:val="0"/>
        <w:autoSpaceDN w:val="0"/>
        <w:adjustRightInd w:val="0"/>
        <w:spacing w:line="360" w:lineRule="auto"/>
        <w:ind w:firstLine="708"/>
        <w:jc w:val="both"/>
        <w:rPr>
          <w:lang w:val="en-US"/>
        </w:rPr>
      </w:pPr>
      <w:r w:rsidRPr="00F57FEE">
        <w:rPr>
          <w:lang w:val="en-US"/>
        </w:rPr>
        <w:t>Coahuila, México.</w:t>
      </w:r>
    </w:p>
    <w:p w:rsidR="00A03512" w:rsidRPr="00725C0D" w:rsidRDefault="00A03512" w:rsidP="00635ACD">
      <w:pPr>
        <w:autoSpaceDE w:val="0"/>
        <w:autoSpaceDN w:val="0"/>
        <w:adjustRightInd w:val="0"/>
        <w:spacing w:line="360" w:lineRule="auto"/>
        <w:rPr>
          <w:lang w:val="en-US" w:eastAsia="es-ES"/>
        </w:rPr>
      </w:pPr>
      <w:r w:rsidRPr="00635ACD">
        <w:rPr>
          <w:lang w:val="en-US" w:eastAsia="es-ES"/>
        </w:rPr>
        <w:t xml:space="preserve">Chapin, F. S., M. S. Torn, and M. Tateno.  1996.  Principles of ecosystem sustainability.  </w:t>
      </w:r>
      <w:r w:rsidRPr="00725C0D">
        <w:rPr>
          <w:lang w:val="en-US" w:eastAsia="es-ES"/>
        </w:rPr>
        <w:t xml:space="preserve">The </w:t>
      </w:r>
    </w:p>
    <w:p w:rsidR="00A03512" w:rsidRPr="00725C0D" w:rsidRDefault="00A03512" w:rsidP="00635ACD">
      <w:pPr>
        <w:autoSpaceDE w:val="0"/>
        <w:autoSpaceDN w:val="0"/>
        <w:adjustRightInd w:val="0"/>
        <w:spacing w:line="360" w:lineRule="auto"/>
        <w:ind w:firstLine="720"/>
        <w:rPr>
          <w:lang w:val="en-US" w:eastAsia="es-ES"/>
        </w:rPr>
      </w:pPr>
      <w:r w:rsidRPr="00725C0D">
        <w:rPr>
          <w:lang w:val="en-US" w:eastAsia="es-ES"/>
        </w:rPr>
        <w:t xml:space="preserve">American Naturalist 148:1016-1037. </w:t>
      </w:r>
    </w:p>
    <w:p w:rsidR="00A03512" w:rsidRDefault="00A03512" w:rsidP="00635ACD">
      <w:pPr>
        <w:autoSpaceDE w:val="0"/>
        <w:autoSpaceDN w:val="0"/>
        <w:adjustRightInd w:val="0"/>
        <w:spacing w:line="360" w:lineRule="auto"/>
        <w:rPr>
          <w:lang w:val="es-ES" w:eastAsia="es-ES"/>
        </w:rPr>
      </w:pPr>
      <w:r w:rsidRPr="001F7325">
        <w:rPr>
          <w:lang w:val="en-US" w:eastAsia="es-ES"/>
        </w:rPr>
        <w:t xml:space="preserve">CONANP.  2007.  </w:t>
      </w:r>
      <w:r w:rsidRPr="009B039A">
        <w:rPr>
          <w:lang w:val="es-ES" w:eastAsia="es-ES"/>
        </w:rPr>
        <w:t>Estrategia de Manejo para las AP de la Región</w:t>
      </w:r>
      <w:r>
        <w:rPr>
          <w:lang w:val="es-ES" w:eastAsia="es-ES"/>
        </w:rPr>
        <w:t xml:space="preserve"> </w:t>
      </w:r>
      <w:r w:rsidRPr="009B039A">
        <w:rPr>
          <w:lang w:val="es-ES" w:eastAsia="es-ES"/>
        </w:rPr>
        <w:t xml:space="preserve">Noreste y Sierra Madre </w:t>
      </w:r>
    </w:p>
    <w:p w:rsidR="00A03512" w:rsidRDefault="00A03512" w:rsidP="003B71D4">
      <w:pPr>
        <w:autoSpaceDE w:val="0"/>
        <w:autoSpaceDN w:val="0"/>
        <w:adjustRightInd w:val="0"/>
        <w:spacing w:line="360" w:lineRule="auto"/>
        <w:ind w:firstLine="708"/>
      </w:pPr>
      <w:r w:rsidRPr="009B039A">
        <w:rPr>
          <w:lang w:val="es-ES" w:eastAsia="es-ES"/>
        </w:rPr>
        <w:t>Oriental 2007 – 2012</w:t>
      </w:r>
      <w:r>
        <w:rPr>
          <w:lang w:val="es-ES"/>
        </w:rPr>
        <w:t xml:space="preserve">. Documento interno. </w:t>
      </w:r>
      <w:r>
        <w:t xml:space="preserve">Comisión </w:t>
      </w:r>
      <w:r w:rsidRPr="007C1388">
        <w:t>Nacional de Áreas Natural</w:t>
      </w:r>
      <w:r>
        <w:t xml:space="preserve">es </w:t>
      </w:r>
    </w:p>
    <w:p w:rsidR="00A03512" w:rsidRDefault="00A03512" w:rsidP="003B71D4">
      <w:pPr>
        <w:autoSpaceDE w:val="0"/>
        <w:autoSpaceDN w:val="0"/>
        <w:adjustRightInd w:val="0"/>
        <w:spacing w:line="360" w:lineRule="auto"/>
        <w:ind w:firstLine="708"/>
      </w:pPr>
      <w:r>
        <w:t>Protegidas. Saltillo</w:t>
      </w:r>
      <w:r w:rsidRPr="007C1388">
        <w:t xml:space="preserve">, </w:t>
      </w:r>
      <w:r>
        <w:t>Coah.</w:t>
      </w:r>
      <w:r w:rsidRPr="007C1388">
        <w:t>, México.</w:t>
      </w:r>
    </w:p>
    <w:p w:rsidR="00A03512" w:rsidRDefault="00A03512" w:rsidP="003B71D4">
      <w:pPr>
        <w:autoSpaceDE w:val="0"/>
        <w:autoSpaceDN w:val="0"/>
        <w:adjustRightInd w:val="0"/>
        <w:spacing w:line="360" w:lineRule="auto"/>
      </w:pPr>
      <w:r>
        <w:t xml:space="preserve">CONANP.  2010a.  </w:t>
      </w:r>
      <w:r w:rsidRPr="003E4DAC">
        <w:t>Estrategia de Cambio Climático para Áreas Protegidas (ECCAP)</w:t>
      </w:r>
      <w:r>
        <w:t xml:space="preserve">, Comisión </w:t>
      </w:r>
    </w:p>
    <w:p w:rsidR="00A03512" w:rsidRPr="007C1388" w:rsidRDefault="00A03512" w:rsidP="003B71D4">
      <w:pPr>
        <w:autoSpaceDE w:val="0"/>
        <w:autoSpaceDN w:val="0"/>
        <w:adjustRightInd w:val="0"/>
        <w:spacing w:line="360" w:lineRule="auto"/>
        <w:ind w:firstLine="708"/>
        <w:rPr>
          <w:lang w:val="es-ES"/>
        </w:rPr>
      </w:pPr>
      <w:r w:rsidRPr="007C1388">
        <w:t>Nacional de Áreas Naturales Protegidas. México, D.F., México.</w:t>
      </w:r>
    </w:p>
    <w:p w:rsidR="00A03512" w:rsidRDefault="00A03512" w:rsidP="003B71D4">
      <w:pPr>
        <w:pStyle w:val="Default"/>
        <w:spacing w:line="360" w:lineRule="auto"/>
        <w:rPr>
          <w:lang w:val="es-MX"/>
        </w:rPr>
      </w:pPr>
      <w:r>
        <w:rPr>
          <w:lang w:val="es-MX"/>
        </w:rPr>
        <w:t xml:space="preserve">CONANP.  2010b.  </w:t>
      </w:r>
      <w:r w:rsidRPr="007C1388">
        <w:rPr>
          <w:lang w:val="es-MX"/>
        </w:rPr>
        <w:t xml:space="preserve">Comisión Nacional de Áreas Naturales Protegidas. 2010a. Pagina web de </w:t>
      </w:r>
    </w:p>
    <w:p w:rsidR="00A03512" w:rsidRDefault="00A03512" w:rsidP="003B71D4">
      <w:pPr>
        <w:pStyle w:val="Default"/>
        <w:spacing w:line="360" w:lineRule="auto"/>
        <w:ind w:firstLine="708"/>
        <w:rPr>
          <w:lang w:val="es-MX"/>
        </w:rPr>
      </w:pPr>
      <w:r w:rsidRPr="00725C0D">
        <w:t xml:space="preserve">CONANP.  &lt;http://www.conanp.gob.mx/acciones/monitoreo_simec.php.&gt;. </w:t>
      </w:r>
      <w:r w:rsidRPr="007C1388">
        <w:rPr>
          <w:lang w:val="es-MX"/>
        </w:rPr>
        <w:t xml:space="preserve">Consultada el </w:t>
      </w:r>
    </w:p>
    <w:p w:rsidR="00A03512" w:rsidRPr="00440BFA" w:rsidRDefault="00A03512" w:rsidP="003B71D4">
      <w:pPr>
        <w:pStyle w:val="Default"/>
        <w:spacing w:line="360" w:lineRule="auto"/>
        <w:ind w:firstLine="708"/>
        <w:rPr>
          <w:lang w:val="es-MX"/>
        </w:rPr>
      </w:pPr>
      <w:r w:rsidRPr="00440BFA">
        <w:rPr>
          <w:lang w:val="es-MX"/>
        </w:rPr>
        <w:t>23 de Noviembre de 2010.</w:t>
      </w:r>
    </w:p>
    <w:p w:rsidR="00A03512" w:rsidRDefault="00A03512" w:rsidP="003B71D4">
      <w:pPr>
        <w:autoSpaceDE w:val="0"/>
        <w:autoSpaceDN w:val="0"/>
        <w:adjustRightInd w:val="0"/>
        <w:spacing w:line="360" w:lineRule="auto"/>
        <w:rPr>
          <w:lang w:val="es-ES"/>
        </w:rPr>
      </w:pPr>
      <w:r w:rsidRPr="009B039A">
        <w:rPr>
          <w:lang w:val="es-ES"/>
        </w:rPr>
        <w:t xml:space="preserve">CONANP. </w:t>
      </w:r>
      <w:r>
        <w:rPr>
          <w:lang w:val="es-ES"/>
        </w:rPr>
        <w:t xml:space="preserve"> </w:t>
      </w:r>
      <w:r w:rsidRPr="009B039A">
        <w:rPr>
          <w:lang w:val="es-ES"/>
        </w:rPr>
        <w:t xml:space="preserve">2010c. </w:t>
      </w:r>
      <w:r>
        <w:rPr>
          <w:lang w:val="es-ES"/>
        </w:rPr>
        <w:t xml:space="preserve"> Diagnostico para la implementación de la estrategia de cambio climático </w:t>
      </w:r>
    </w:p>
    <w:p w:rsidR="00A03512" w:rsidRDefault="00A03512" w:rsidP="00A621F2">
      <w:pPr>
        <w:autoSpaceDE w:val="0"/>
        <w:autoSpaceDN w:val="0"/>
        <w:adjustRightInd w:val="0"/>
        <w:spacing w:line="360" w:lineRule="auto"/>
        <w:ind w:firstLine="708"/>
        <w:rPr>
          <w:lang w:val="es-ES"/>
        </w:rPr>
      </w:pPr>
      <w:r>
        <w:rPr>
          <w:lang w:val="es-ES"/>
        </w:rPr>
        <w:t xml:space="preserve">para áreas protegidas (ECCAP) en la region noreste y sierra madre oriental. Borrador. </w:t>
      </w:r>
    </w:p>
    <w:p w:rsidR="00A03512" w:rsidRPr="009B039A" w:rsidRDefault="00A03512" w:rsidP="003B71D4">
      <w:pPr>
        <w:autoSpaceDE w:val="0"/>
        <w:autoSpaceDN w:val="0"/>
        <w:adjustRightInd w:val="0"/>
        <w:spacing w:line="360" w:lineRule="auto"/>
        <w:ind w:firstLine="708"/>
        <w:rPr>
          <w:lang w:val="es-ES"/>
        </w:rPr>
      </w:pPr>
      <w:r>
        <w:t xml:space="preserve">Comisión </w:t>
      </w:r>
      <w:r w:rsidRPr="007C1388">
        <w:t>Nacional de Áreas Natural</w:t>
      </w:r>
      <w:r>
        <w:t>es Protegidas. Saltillo, Coah</w:t>
      </w:r>
      <w:r w:rsidRPr="007C1388">
        <w:t>., México.</w:t>
      </w:r>
    </w:p>
    <w:p w:rsidR="00A03512" w:rsidRDefault="00A03512" w:rsidP="008B5FBE">
      <w:pPr>
        <w:spacing w:line="360" w:lineRule="auto"/>
        <w:jc w:val="both"/>
      </w:pPr>
      <w:r>
        <w:t xml:space="preserve">COTECOCA.  1979.  Comisión Técnico Consultiva para la determinación regional de los </w:t>
      </w:r>
    </w:p>
    <w:p w:rsidR="00A03512" w:rsidRDefault="00A03512" w:rsidP="008B5FBE">
      <w:pPr>
        <w:spacing w:line="360" w:lineRule="auto"/>
        <w:ind w:firstLine="720"/>
        <w:jc w:val="both"/>
      </w:pPr>
      <w:r>
        <w:t xml:space="preserve">Coeficientes de Agostadero. Secretaría de Agricultura y Recursos Hidráulicos, </w:t>
      </w:r>
    </w:p>
    <w:p w:rsidR="00A03512" w:rsidRPr="00C0268C" w:rsidRDefault="00A03512" w:rsidP="00981D8A">
      <w:pPr>
        <w:spacing w:line="360" w:lineRule="auto"/>
        <w:ind w:firstLine="720"/>
        <w:jc w:val="both"/>
        <w:rPr>
          <w:lang w:val="en-US"/>
        </w:rPr>
      </w:pPr>
      <w:r w:rsidRPr="00C0268C">
        <w:rPr>
          <w:lang w:val="en-US"/>
        </w:rPr>
        <w:t>Subsecretaría de Ganadería. Coahuila.</w:t>
      </w:r>
    </w:p>
    <w:p w:rsidR="00A03512" w:rsidRDefault="00A03512" w:rsidP="00981D8A">
      <w:pPr>
        <w:autoSpaceDE w:val="0"/>
        <w:autoSpaceDN w:val="0"/>
        <w:adjustRightInd w:val="0"/>
        <w:spacing w:line="360" w:lineRule="auto"/>
        <w:rPr>
          <w:lang w:val="en-US"/>
        </w:rPr>
      </w:pPr>
      <w:r w:rsidRPr="00981D8A">
        <w:rPr>
          <w:lang w:val="en-US"/>
        </w:rPr>
        <w:t xml:space="preserve">Dahm, C. N., R. J. Edwards, and F. P. Gelwick. </w:t>
      </w:r>
      <w:r>
        <w:rPr>
          <w:lang w:val="en-US"/>
        </w:rPr>
        <w:t xml:space="preserve"> </w:t>
      </w:r>
      <w:r w:rsidRPr="00981D8A">
        <w:rPr>
          <w:lang w:val="en-US"/>
        </w:rPr>
        <w:t xml:space="preserve">2005. </w:t>
      </w:r>
      <w:r>
        <w:rPr>
          <w:lang w:val="en-US"/>
        </w:rPr>
        <w:t xml:space="preserve"> </w:t>
      </w:r>
      <w:r w:rsidRPr="00981D8A">
        <w:rPr>
          <w:lang w:val="en-US"/>
        </w:rPr>
        <w:t xml:space="preserve">Gulf Coast rivers of the southwestern </w:t>
      </w:r>
    </w:p>
    <w:p w:rsidR="00A03512" w:rsidRDefault="00A03512" w:rsidP="00981D8A">
      <w:pPr>
        <w:autoSpaceDE w:val="0"/>
        <w:autoSpaceDN w:val="0"/>
        <w:adjustRightInd w:val="0"/>
        <w:spacing w:line="360" w:lineRule="auto"/>
        <w:ind w:firstLine="720"/>
        <w:rPr>
          <w:lang w:val="en-US"/>
        </w:rPr>
      </w:pPr>
      <w:r w:rsidRPr="00981D8A">
        <w:rPr>
          <w:lang w:val="en-US"/>
        </w:rPr>
        <w:t>United</w:t>
      </w:r>
      <w:r>
        <w:rPr>
          <w:lang w:val="en-US"/>
        </w:rPr>
        <w:t xml:space="preserve"> </w:t>
      </w:r>
      <w:r w:rsidRPr="00981D8A">
        <w:rPr>
          <w:lang w:val="en-US"/>
        </w:rPr>
        <w:t xml:space="preserve">States. Pages 181–228 </w:t>
      </w:r>
      <w:r w:rsidRPr="00981D8A">
        <w:rPr>
          <w:i/>
          <w:iCs/>
          <w:lang w:val="en-US"/>
        </w:rPr>
        <w:t xml:space="preserve">in </w:t>
      </w:r>
      <w:r w:rsidRPr="00981D8A">
        <w:rPr>
          <w:lang w:val="en-US"/>
        </w:rPr>
        <w:t xml:space="preserve">A. C. Benke and C. E. Cushing, eds., Rivers of North </w:t>
      </w:r>
    </w:p>
    <w:p w:rsidR="00A03512" w:rsidRPr="00981D8A" w:rsidRDefault="00A03512" w:rsidP="00981D8A">
      <w:pPr>
        <w:autoSpaceDE w:val="0"/>
        <w:autoSpaceDN w:val="0"/>
        <w:adjustRightInd w:val="0"/>
        <w:spacing w:line="360" w:lineRule="auto"/>
        <w:ind w:firstLine="720"/>
        <w:rPr>
          <w:lang w:val="en-US"/>
        </w:rPr>
      </w:pPr>
      <w:r w:rsidRPr="00981D8A">
        <w:rPr>
          <w:lang w:val="en-US"/>
        </w:rPr>
        <w:t>America. Burlington,</w:t>
      </w:r>
      <w:r>
        <w:rPr>
          <w:lang w:val="en-US"/>
        </w:rPr>
        <w:t xml:space="preserve"> </w:t>
      </w:r>
      <w:r w:rsidRPr="00981D8A">
        <w:rPr>
          <w:lang w:val="en-US"/>
        </w:rPr>
        <w:t>Ma.: Elsevier Academic Press.</w:t>
      </w:r>
    </w:p>
    <w:p w:rsidR="00A03512" w:rsidRPr="00981D8A" w:rsidRDefault="00A03512" w:rsidP="00981D8A">
      <w:pPr>
        <w:autoSpaceDE w:val="0"/>
        <w:autoSpaceDN w:val="0"/>
        <w:adjustRightInd w:val="0"/>
        <w:spacing w:line="360" w:lineRule="auto"/>
        <w:rPr>
          <w:lang w:val="en-US"/>
        </w:rPr>
      </w:pPr>
      <w:r w:rsidRPr="00981D8A">
        <w:rPr>
          <w:lang w:val="en-US"/>
        </w:rPr>
        <w:t xml:space="preserve">Fancy, S. G., J. E. Gross, and S. L. Carter. </w:t>
      </w:r>
      <w:r>
        <w:rPr>
          <w:lang w:val="en-US"/>
        </w:rPr>
        <w:t xml:space="preserve"> </w:t>
      </w:r>
      <w:r w:rsidRPr="00981D8A">
        <w:rPr>
          <w:lang w:val="en-US"/>
        </w:rPr>
        <w:t xml:space="preserve">2009. </w:t>
      </w:r>
      <w:r>
        <w:rPr>
          <w:lang w:val="en-US"/>
        </w:rPr>
        <w:t xml:space="preserve"> </w:t>
      </w:r>
      <w:r w:rsidRPr="00981D8A">
        <w:rPr>
          <w:lang w:val="en-US"/>
        </w:rPr>
        <w:t>Monitoring the condition of natural</w:t>
      </w:r>
    </w:p>
    <w:p w:rsidR="00A03512" w:rsidRPr="00A06098" w:rsidRDefault="00A03512" w:rsidP="003B71D4">
      <w:pPr>
        <w:autoSpaceDE w:val="0"/>
        <w:autoSpaceDN w:val="0"/>
        <w:adjustRightInd w:val="0"/>
        <w:spacing w:line="360" w:lineRule="auto"/>
        <w:ind w:firstLine="720"/>
        <w:rPr>
          <w:lang w:val="en-US"/>
        </w:rPr>
      </w:pPr>
      <w:r w:rsidRPr="00A06098">
        <w:rPr>
          <w:lang w:val="en-US"/>
        </w:rPr>
        <w:t>resources in US National Parks. Environmental Monitoring and Assessment 151:161-</w:t>
      </w:r>
    </w:p>
    <w:p w:rsidR="00A03512" w:rsidRPr="00A06098" w:rsidRDefault="00A03512" w:rsidP="003B71D4">
      <w:pPr>
        <w:autoSpaceDE w:val="0"/>
        <w:autoSpaceDN w:val="0"/>
        <w:adjustRightInd w:val="0"/>
        <w:spacing w:line="360" w:lineRule="auto"/>
        <w:ind w:firstLine="720"/>
        <w:rPr>
          <w:lang w:val="en-US"/>
        </w:rPr>
      </w:pPr>
      <w:r w:rsidRPr="00A06098">
        <w:rPr>
          <w:lang w:val="en-US"/>
        </w:rPr>
        <w:t>174.</w:t>
      </w:r>
    </w:p>
    <w:p w:rsidR="00A03512" w:rsidRPr="00A621F2" w:rsidRDefault="00A03512" w:rsidP="00185FA8">
      <w:pPr>
        <w:autoSpaceDE w:val="0"/>
        <w:autoSpaceDN w:val="0"/>
        <w:adjustRightInd w:val="0"/>
        <w:spacing w:line="360" w:lineRule="auto"/>
      </w:pPr>
      <w:r w:rsidRPr="00C813A3">
        <w:rPr>
          <w:lang w:val="en-US"/>
        </w:rPr>
        <w:t xml:space="preserve">García, E.  </w:t>
      </w:r>
      <w:r w:rsidRPr="00185FA8">
        <w:t xml:space="preserve">1981. </w:t>
      </w:r>
      <w:r>
        <w:t xml:space="preserve"> </w:t>
      </w:r>
      <w:r w:rsidRPr="00185FA8">
        <w:t xml:space="preserve">Modificaciones al Sistema de Clasificación Climática de Köpen. </w:t>
      </w:r>
      <w:r w:rsidRPr="00A621F2">
        <w:t>3a Edición.</w:t>
      </w:r>
    </w:p>
    <w:p w:rsidR="00A03512" w:rsidRPr="00A621F2" w:rsidRDefault="00A03512" w:rsidP="00185FA8">
      <w:pPr>
        <w:autoSpaceDE w:val="0"/>
        <w:autoSpaceDN w:val="0"/>
        <w:adjustRightInd w:val="0"/>
        <w:spacing w:line="360" w:lineRule="auto"/>
        <w:ind w:firstLine="720"/>
      </w:pPr>
      <w:r w:rsidRPr="00A621F2">
        <w:t>Editorial Larios, México. 71 pp.</w:t>
      </w:r>
    </w:p>
    <w:p w:rsidR="00A03512" w:rsidRDefault="00A03512" w:rsidP="00CE6E73">
      <w:pPr>
        <w:autoSpaceDE w:val="0"/>
        <w:autoSpaceDN w:val="0"/>
        <w:adjustRightInd w:val="0"/>
        <w:spacing w:line="360" w:lineRule="auto"/>
      </w:pPr>
      <w:r w:rsidRPr="00CE6E73">
        <w:t xml:space="preserve">Garza L. A. 2003. Aves de Coahuila (Guía de campo). Primera Impresión. Artes Gráficas </w:t>
      </w:r>
    </w:p>
    <w:p w:rsidR="00A03512" w:rsidRPr="00C813A3" w:rsidRDefault="00A03512" w:rsidP="00CE6E73">
      <w:pPr>
        <w:autoSpaceDE w:val="0"/>
        <w:autoSpaceDN w:val="0"/>
        <w:adjustRightInd w:val="0"/>
        <w:spacing w:line="360" w:lineRule="auto"/>
        <w:ind w:firstLine="720"/>
        <w:rPr>
          <w:lang w:val="en-US"/>
        </w:rPr>
      </w:pPr>
      <w:r w:rsidRPr="00CE6E73">
        <w:t>Integradas</w:t>
      </w:r>
      <w:r>
        <w:t xml:space="preserve"> </w:t>
      </w:r>
      <w:r w:rsidRPr="00CE6E73">
        <w:t xml:space="preserve">S. A. de C. V. Impreso en México I, AGISA. </w:t>
      </w:r>
      <w:r w:rsidRPr="00C813A3">
        <w:rPr>
          <w:lang w:val="en-US"/>
        </w:rPr>
        <w:t>373 pp.</w:t>
      </w:r>
    </w:p>
    <w:p w:rsidR="00A03512" w:rsidRDefault="00A03512" w:rsidP="003B71D4">
      <w:pPr>
        <w:autoSpaceDE w:val="0"/>
        <w:autoSpaceDN w:val="0"/>
        <w:adjustRightInd w:val="0"/>
        <w:spacing w:line="360" w:lineRule="auto"/>
        <w:rPr>
          <w:lang w:val="en-US" w:eastAsia="es-ES"/>
        </w:rPr>
      </w:pPr>
      <w:r w:rsidRPr="00CE6E73">
        <w:rPr>
          <w:lang w:val="en-US"/>
        </w:rPr>
        <w:t xml:space="preserve">Hassan, R., R. Scholes, N. Ash.  </w:t>
      </w:r>
      <w:r w:rsidRPr="009B039A">
        <w:rPr>
          <w:lang w:val="en-US"/>
        </w:rPr>
        <w:t>200</w:t>
      </w:r>
      <w:r w:rsidRPr="00DE0321">
        <w:rPr>
          <w:lang w:val="en-US"/>
        </w:rPr>
        <w:t xml:space="preserve">5. </w:t>
      </w:r>
      <w:r>
        <w:rPr>
          <w:lang w:val="en-US"/>
        </w:rPr>
        <w:t xml:space="preserve"> </w:t>
      </w:r>
      <w:r>
        <w:rPr>
          <w:lang w:val="en-US" w:eastAsia="es-ES"/>
        </w:rPr>
        <w:t xml:space="preserve">Ecosystems and human well-being: current state and </w:t>
      </w:r>
    </w:p>
    <w:p w:rsidR="00A03512" w:rsidRDefault="00A03512" w:rsidP="003B71D4">
      <w:pPr>
        <w:autoSpaceDE w:val="0"/>
        <w:autoSpaceDN w:val="0"/>
        <w:adjustRightInd w:val="0"/>
        <w:spacing w:line="360" w:lineRule="auto"/>
        <w:ind w:firstLine="708"/>
        <w:rPr>
          <w:lang w:val="en-US" w:eastAsia="es-ES"/>
        </w:rPr>
      </w:pPr>
      <w:r>
        <w:rPr>
          <w:lang w:val="en-US" w:eastAsia="es-ES"/>
        </w:rPr>
        <w:t>trends</w:t>
      </w:r>
      <w:r w:rsidRPr="00DE0321">
        <w:rPr>
          <w:lang w:val="en-US" w:eastAsia="es-ES"/>
        </w:rPr>
        <w:t>: findings of</w:t>
      </w:r>
      <w:r>
        <w:rPr>
          <w:lang w:val="en-US" w:eastAsia="es-ES"/>
        </w:rPr>
        <w:t xml:space="preserve"> the c</w:t>
      </w:r>
      <w:r w:rsidRPr="00DE0321">
        <w:rPr>
          <w:lang w:val="en-US" w:eastAsia="es-ES"/>
        </w:rPr>
        <w:t>ondit</w:t>
      </w:r>
      <w:r>
        <w:rPr>
          <w:lang w:val="en-US" w:eastAsia="es-ES"/>
        </w:rPr>
        <w:t>ion and trends working g</w:t>
      </w:r>
      <w:r w:rsidRPr="00DE0321">
        <w:rPr>
          <w:lang w:val="en-US" w:eastAsia="es-ES"/>
        </w:rPr>
        <w:t>roup</w:t>
      </w:r>
      <w:r>
        <w:rPr>
          <w:lang w:val="en-US" w:eastAsia="es-ES"/>
        </w:rPr>
        <w:t xml:space="preserve"> of the millennium ecosystem </w:t>
      </w:r>
    </w:p>
    <w:p w:rsidR="00A03512" w:rsidRDefault="00A03512" w:rsidP="003B71D4">
      <w:pPr>
        <w:autoSpaceDE w:val="0"/>
        <w:autoSpaceDN w:val="0"/>
        <w:adjustRightInd w:val="0"/>
        <w:spacing w:line="360" w:lineRule="auto"/>
        <w:ind w:left="708"/>
        <w:rPr>
          <w:lang w:val="en-US" w:eastAsia="es-ES"/>
        </w:rPr>
      </w:pPr>
      <w:r>
        <w:rPr>
          <w:lang w:val="en-US" w:eastAsia="es-ES"/>
        </w:rPr>
        <w:t>assessment. Island Press, Washington, USA.</w:t>
      </w:r>
    </w:p>
    <w:p w:rsidR="00A03512" w:rsidRDefault="00A03512" w:rsidP="003B71D4">
      <w:pPr>
        <w:autoSpaceDE w:val="0"/>
        <w:autoSpaceDN w:val="0"/>
        <w:adjustRightInd w:val="0"/>
        <w:spacing w:line="360" w:lineRule="auto"/>
      </w:pPr>
      <w:r>
        <w:t>INEGI.  2011</w:t>
      </w:r>
      <w:r w:rsidRPr="00B36E13">
        <w:t>.</w:t>
      </w:r>
      <w:r>
        <w:t xml:space="preserve"> </w:t>
      </w:r>
      <w:r w:rsidRPr="00B36E13">
        <w:t xml:space="preserve"> Geografía: Provincias. [En línea] Consultado el 26 de </w:t>
      </w:r>
      <w:r>
        <w:t>Septiembre de 2011</w:t>
      </w:r>
      <w:r w:rsidRPr="00B36E13">
        <w:t xml:space="preserve"> </w:t>
      </w:r>
    </w:p>
    <w:p w:rsidR="00A03512" w:rsidRDefault="00A03512" w:rsidP="00B36E13">
      <w:pPr>
        <w:autoSpaceDE w:val="0"/>
        <w:autoSpaceDN w:val="0"/>
        <w:adjustRightInd w:val="0"/>
        <w:spacing w:line="360" w:lineRule="auto"/>
        <w:ind w:left="720"/>
      </w:pPr>
      <w:hyperlink r:id="rId17" w:history="1">
        <w:r w:rsidRPr="002348D6">
          <w:rPr>
            <w:rStyle w:val="Hyperlink"/>
          </w:rPr>
          <w:t>http://mapserver.inegi.org.mx/geografia/espanol/estados/definiciones/provincia.cfm?c=444&amp;e=28</w:t>
        </w:r>
      </w:hyperlink>
    </w:p>
    <w:p w:rsidR="00A03512" w:rsidRPr="00D9374C" w:rsidRDefault="00A03512" w:rsidP="003B71D4">
      <w:pPr>
        <w:autoSpaceDE w:val="0"/>
        <w:autoSpaceDN w:val="0"/>
        <w:adjustRightInd w:val="0"/>
        <w:spacing w:line="360" w:lineRule="auto"/>
      </w:pPr>
      <w:r>
        <w:rPr>
          <w:lang w:val="es-ES"/>
        </w:rPr>
        <w:t>IPCC.</w:t>
      </w:r>
      <w:r w:rsidRPr="00D9374C">
        <w:rPr>
          <w:lang w:val="es-ES"/>
        </w:rPr>
        <w:t xml:space="preserve"> </w:t>
      </w:r>
      <w:r>
        <w:rPr>
          <w:lang w:val="es-ES"/>
        </w:rPr>
        <w:t xml:space="preserve"> </w:t>
      </w:r>
      <w:r w:rsidRPr="00D9374C">
        <w:rPr>
          <w:lang w:val="es-ES"/>
        </w:rPr>
        <w:t xml:space="preserve">2007. </w:t>
      </w:r>
      <w:r>
        <w:rPr>
          <w:lang w:val="es-ES"/>
        </w:rPr>
        <w:t xml:space="preserve"> </w:t>
      </w:r>
      <w:r w:rsidRPr="00D9374C">
        <w:rPr>
          <w:lang w:val="es-ES"/>
        </w:rPr>
        <w:t xml:space="preserve">Cambio climático 2007: Informe de síntesis. </w:t>
      </w:r>
      <w:r w:rsidRPr="00D9374C">
        <w:t xml:space="preserve">Contribución de los Grupos de </w:t>
      </w:r>
    </w:p>
    <w:p w:rsidR="00A03512" w:rsidRPr="00D9374C" w:rsidRDefault="00A03512" w:rsidP="003B71D4">
      <w:pPr>
        <w:autoSpaceDE w:val="0"/>
        <w:autoSpaceDN w:val="0"/>
        <w:adjustRightInd w:val="0"/>
        <w:spacing w:line="360" w:lineRule="auto"/>
        <w:ind w:firstLine="720"/>
        <w:rPr>
          <w:lang w:val="es-ES"/>
        </w:rPr>
      </w:pPr>
      <w:r w:rsidRPr="00D9374C">
        <w:rPr>
          <w:lang w:val="es-ES"/>
        </w:rPr>
        <w:t xml:space="preserve">trabajo I, II y III al Cuarto Informe de evaluación del Grupo Intergubernamental </w:t>
      </w:r>
    </w:p>
    <w:p w:rsidR="00A03512" w:rsidRPr="00D9374C" w:rsidRDefault="00A03512" w:rsidP="003B71D4">
      <w:pPr>
        <w:autoSpaceDE w:val="0"/>
        <w:autoSpaceDN w:val="0"/>
        <w:adjustRightInd w:val="0"/>
        <w:spacing w:line="360" w:lineRule="auto"/>
        <w:ind w:firstLine="720"/>
        <w:rPr>
          <w:lang w:val="es-ES"/>
        </w:rPr>
      </w:pPr>
      <w:r w:rsidRPr="00D9374C">
        <w:rPr>
          <w:lang w:val="es-ES"/>
        </w:rPr>
        <w:t>de Expertos sobre el Cambio Climático [Equipo de redacción principal: Pachauri,</w:t>
      </w:r>
    </w:p>
    <w:p w:rsidR="00A03512" w:rsidRPr="00D9374C" w:rsidRDefault="00A03512" w:rsidP="003B71D4">
      <w:pPr>
        <w:autoSpaceDE w:val="0"/>
        <w:autoSpaceDN w:val="0"/>
        <w:adjustRightInd w:val="0"/>
        <w:spacing w:line="360" w:lineRule="auto"/>
        <w:ind w:firstLine="720"/>
        <w:rPr>
          <w:lang w:val="es-ES"/>
        </w:rPr>
      </w:pPr>
      <w:r w:rsidRPr="00D9374C">
        <w:rPr>
          <w:lang w:val="es-ES"/>
        </w:rPr>
        <w:t xml:space="preserve">R.K. y Reisinger, A. (directores de la publicación)]. IPCC, Ginebra, Suiza, 104 </w:t>
      </w:r>
    </w:p>
    <w:p w:rsidR="00A03512" w:rsidRPr="00D9374C" w:rsidRDefault="00A03512" w:rsidP="003B71D4">
      <w:pPr>
        <w:autoSpaceDE w:val="0"/>
        <w:autoSpaceDN w:val="0"/>
        <w:adjustRightInd w:val="0"/>
        <w:spacing w:line="360" w:lineRule="auto"/>
        <w:ind w:firstLine="720"/>
        <w:rPr>
          <w:lang w:val="es-ES"/>
        </w:rPr>
      </w:pPr>
      <w:r w:rsidRPr="00D9374C">
        <w:rPr>
          <w:lang w:val="es-ES"/>
        </w:rPr>
        <w:t>págs.</w:t>
      </w:r>
    </w:p>
    <w:p w:rsidR="00A03512" w:rsidRDefault="00A03512" w:rsidP="003B71D4">
      <w:pPr>
        <w:autoSpaceDE w:val="0"/>
        <w:autoSpaceDN w:val="0"/>
        <w:adjustRightInd w:val="0"/>
        <w:spacing w:line="360" w:lineRule="auto"/>
        <w:rPr>
          <w:lang w:val="en-US"/>
        </w:rPr>
      </w:pPr>
      <w:r w:rsidRPr="00C813A3">
        <w:t xml:space="preserve">Jenny, H.  </w:t>
      </w:r>
      <w:r w:rsidRPr="00A621F2">
        <w:rPr>
          <w:lang w:val="en-US"/>
        </w:rPr>
        <w:t xml:space="preserve">1941.  </w:t>
      </w:r>
      <w:r w:rsidRPr="00D9374C">
        <w:rPr>
          <w:lang w:val="en-US"/>
        </w:rPr>
        <w:t xml:space="preserve">Factors of soil formation: A system of quantitative pedology. New York: </w:t>
      </w:r>
    </w:p>
    <w:p w:rsidR="00A03512" w:rsidRPr="00D9374C" w:rsidRDefault="00A03512" w:rsidP="00D9374C">
      <w:pPr>
        <w:autoSpaceDE w:val="0"/>
        <w:autoSpaceDN w:val="0"/>
        <w:adjustRightInd w:val="0"/>
        <w:spacing w:line="360" w:lineRule="auto"/>
        <w:ind w:firstLine="720"/>
        <w:rPr>
          <w:lang w:val="en-US"/>
        </w:rPr>
      </w:pPr>
      <w:r w:rsidRPr="00D9374C">
        <w:rPr>
          <w:lang w:val="en-US"/>
        </w:rPr>
        <w:t>McGraw-Hill.</w:t>
      </w:r>
    </w:p>
    <w:p w:rsidR="00A03512" w:rsidRPr="00D9374C" w:rsidRDefault="00A03512" w:rsidP="003B71D4">
      <w:pPr>
        <w:autoSpaceDE w:val="0"/>
        <w:autoSpaceDN w:val="0"/>
        <w:adjustRightInd w:val="0"/>
        <w:spacing w:line="360" w:lineRule="auto"/>
        <w:rPr>
          <w:lang w:val="en-US"/>
        </w:rPr>
      </w:pPr>
      <w:r w:rsidRPr="00D9374C">
        <w:rPr>
          <w:lang w:val="en-US"/>
        </w:rPr>
        <w:t xml:space="preserve">Jope, K. L. </w:t>
      </w:r>
      <w:r>
        <w:rPr>
          <w:lang w:val="en-US"/>
        </w:rPr>
        <w:t xml:space="preserve"> </w:t>
      </w:r>
      <w:r w:rsidRPr="00D9374C">
        <w:rPr>
          <w:lang w:val="en-US"/>
        </w:rPr>
        <w:t xml:space="preserve">2001. </w:t>
      </w:r>
      <w:r>
        <w:rPr>
          <w:lang w:val="en-US"/>
        </w:rPr>
        <w:t xml:space="preserve"> </w:t>
      </w:r>
      <w:r w:rsidRPr="00D9374C">
        <w:rPr>
          <w:lang w:val="en-US"/>
        </w:rPr>
        <w:t xml:space="preserve">An approach to identifying “vital signs” of ecosystem health </w:t>
      </w:r>
      <w:r w:rsidRPr="00D9374C">
        <w:rPr>
          <w:i/>
          <w:iCs/>
          <w:lang w:val="en-US"/>
        </w:rPr>
        <w:t>in</w:t>
      </w:r>
      <w:r w:rsidRPr="00D9374C">
        <w:rPr>
          <w:lang w:val="en-US"/>
        </w:rPr>
        <w:t xml:space="preserve"> Harmon, D., </w:t>
      </w:r>
    </w:p>
    <w:p w:rsidR="00A03512" w:rsidRPr="00A06098" w:rsidRDefault="00A03512" w:rsidP="003B71D4">
      <w:pPr>
        <w:autoSpaceDE w:val="0"/>
        <w:autoSpaceDN w:val="0"/>
        <w:adjustRightInd w:val="0"/>
        <w:spacing w:line="360" w:lineRule="auto"/>
        <w:ind w:firstLine="720"/>
        <w:rPr>
          <w:lang w:val="en-US"/>
        </w:rPr>
      </w:pPr>
      <w:r w:rsidRPr="00A06098">
        <w:rPr>
          <w:lang w:val="en-US"/>
        </w:rPr>
        <w:t>editor. Crossing Boundaries in Park Management: Proceedings of the 11</w:t>
      </w:r>
      <w:r w:rsidRPr="00A06098">
        <w:rPr>
          <w:vertAlign w:val="superscript"/>
          <w:lang w:val="en-US"/>
        </w:rPr>
        <w:t>th</w:t>
      </w:r>
    </w:p>
    <w:p w:rsidR="00A03512" w:rsidRPr="00A06098" w:rsidRDefault="00A03512" w:rsidP="003B71D4">
      <w:pPr>
        <w:autoSpaceDE w:val="0"/>
        <w:autoSpaceDN w:val="0"/>
        <w:adjustRightInd w:val="0"/>
        <w:spacing w:line="360" w:lineRule="auto"/>
        <w:ind w:firstLine="720"/>
        <w:rPr>
          <w:lang w:val="en-US"/>
        </w:rPr>
      </w:pPr>
      <w:r w:rsidRPr="00A06098">
        <w:rPr>
          <w:lang w:val="en-US"/>
        </w:rPr>
        <w:t xml:space="preserve">Conference on Research and Resource Management in Parks and on Public Lands. </w:t>
      </w:r>
    </w:p>
    <w:p w:rsidR="00A03512" w:rsidRPr="00A06098" w:rsidRDefault="00A03512" w:rsidP="003B71D4">
      <w:pPr>
        <w:autoSpaceDE w:val="0"/>
        <w:autoSpaceDN w:val="0"/>
        <w:adjustRightInd w:val="0"/>
        <w:spacing w:line="360" w:lineRule="auto"/>
        <w:ind w:firstLine="708"/>
        <w:rPr>
          <w:lang w:val="en-US"/>
        </w:rPr>
      </w:pPr>
      <w:r w:rsidRPr="00A06098">
        <w:rPr>
          <w:lang w:val="en-US"/>
        </w:rPr>
        <w:t>The George Wright Society, Hancock, Michigan, USA.</w:t>
      </w:r>
    </w:p>
    <w:p w:rsidR="00A03512" w:rsidRPr="001866E2" w:rsidRDefault="00A03512" w:rsidP="001866E2">
      <w:pPr>
        <w:autoSpaceDE w:val="0"/>
        <w:autoSpaceDN w:val="0"/>
        <w:adjustRightInd w:val="0"/>
        <w:spacing w:line="360" w:lineRule="auto"/>
      </w:pPr>
      <w:r w:rsidRPr="001866E2">
        <w:t xml:space="preserve">Programa Especial de Cambio Climático. </w:t>
      </w:r>
      <w:r>
        <w:t xml:space="preserve"> </w:t>
      </w:r>
      <w:r w:rsidRPr="001866E2">
        <w:t xml:space="preserve">2009. </w:t>
      </w:r>
      <w:r>
        <w:t xml:space="preserve"> </w:t>
      </w:r>
      <w:r w:rsidRPr="001866E2">
        <w:t xml:space="preserve">Poder Ejecutivo Federal, Estados Unidos </w:t>
      </w:r>
    </w:p>
    <w:p w:rsidR="00A03512" w:rsidRPr="001866E2" w:rsidRDefault="00A03512" w:rsidP="001866E2">
      <w:pPr>
        <w:autoSpaceDE w:val="0"/>
        <w:autoSpaceDN w:val="0"/>
        <w:adjustRightInd w:val="0"/>
        <w:spacing w:line="360" w:lineRule="auto"/>
        <w:ind w:firstLine="708"/>
      </w:pPr>
      <w:r w:rsidRPr="001866E2">
        <w:t>Mexicanos, México, D.F., México.</w:t>
      </w:r>
    </w:p>
    <w:p w:rsidR="00A03512" w:rsidRDefault="00A03512" w:rsidP="001866E2">
      <w:pPr>
        <w:autoSpaceDE w:val="0"/>
        <w:autoSpaceDN w:val="0"/>
        <w:adjustRightInd w:val="0"/>
        <w:spacing w:line="360" w:lineRule="auto"/>
        <w:rPr>
          <w:lang w:val="en-US"/>
        </w:rPr>
      </w:pPr>
      <w:r w:rsidRPr="001866E2">
        <w:rPr>
          <w:lang w:val="en-US"/>
        </w:rPr>
        <w:t xml:space="preserve">Purchase, C. E., D. Larson, M. D. Flora, and J. Reber. 2001. Amistad National Recreation Area, </w:t>
      </w:r>
    </w:p>
    <w:p w:rsidR="00A03512" w:rsidRDefault="00A03512" w:rsidP="001866E2">
      <w:pPr>
        <w:autoSpaceDE w:val="0"/>
        <w:autoSpaceDN w:val="0"/>
        <w:adjustRightInd w:val="0"/>
        <w:spacing w:line="360" w:lineRule="auto"/>
        <w:ind w:firstLine="720"/>
        <w:rPr>
          <w:lang w:val="en-US"/>
        </w:rPr>
      </w:pPr>
      <w:r w:rsidRPr="001866E2">
        <w:rPr>
          <w:lang w:val="en-US"/>
        </w:rPr>
        <w:t>Texas:</w:t>
      </w:r>
      <w:r>
        <w:rPr>
          <w:lang w:val="en-US"/>
        </w:rPr>
        <w:t xml:space="preserve"> </w:t>
      </w:r>
      <w:r w:rsidRPr="001866E2">
        <w:rPr>
          <w:lang w:val="en-US"/>
        </w:rPr>
        <w:t xml:space="preserve">Water resources scoping report. National Park Service Technical Report </w:t>
      </w:r>
    </w:p>
    <w:p w:rsidR="00A03512" w:rsidRPr="001866E2" w:rsidRDefault="00A03512" w:rsidP="001866E2">
      <w:pPr>
        <w:autoSpaceDE w:val="0"/>
        <w:autoSpaceDN w:val="0"/>
        <w:adjustRightInd w:val="0"/>
        <w:spacing w:line="360" w:lineRule="auto"/>
        <w:ind w:firstLine="720"/>
        <w:rPr>
          <w:lang w:val="en-US"/>
        </w:rPr>
      </w:pPr>
      <w:r w:rsidRPr="001866E2">
        <w:rPr>
          <w:lang w:val="en-US"/>
        </w:rPr>
        <w:t>NPS/NRWD/NRTR—2001/295. National Park Service, Fort Collins, Colorado.</w:t>
      </w:r>
    </w:p>
    <w:p w:rsidR="00A03512" w:rsidRPr="00185FA8" w:rsidRDefault="00A03512" w:rsidP="001866E2">
      <w:pPr>
        <w:autoSpaceDE w:val="0"/>
        <w:autoSpaceDN w:val="0"/>
        <w:adjustRightInd w:val="0"/>
        <w:spacing w:line="360" w:lineRule="auto"/>
      </w:pPr>
      <w:r w:rsidRPr="00185FA8">
        <w:t xml:space="preserve">Rzedowski, J. </w:t>
      </w:r>
      <w:r>
        <w:t xml:space="preserve"> </w:t>
      </w:r>
      <w:r w:rsidRPr="00185FA8">
        <w:t xml:space="preserve">1983. </w:t>
      </w:r>
      <w:r>
        <w:t xml:space="preserve"> </w:t>
      </w:r>
      <w:r w:rsidRPr="00185FA8">
        <w:t>Vegetación de México, Editorial Limusa, México</w:t>
      </w:r>
      <w:r>
        <w:t>, D.F., México</w:t>
      </w:r>
      <w:r w:rsidRPr="00185FA8">
        <w:t>. 432 pp.</w:t>
      </w:r>
    </w:p>
    <w:p w:rsidR="00A03512" w:rsidRPr="001866E2" w:rsidRDefault="00A03512" w:rsidP="001866E2">
      <w:pPr>
        <w:autoSpaceDE w:val="0"/>
        <w:autoSpaceDN w:val="0"/>
        <w:adjustRightInd w:val="0"/>
        <w:spacing w:line="360" w:lineRule="auto"/>
        <w:rPr>
          <w:lang w:val="en-US"/>
        </w:rPr>
      </w:pPr>
      <w:r w:rsidRPr="001F7325">
        <w:t xml:space="preserve">Sakulich, J., and A. H. Taylor.  2007.  </w:t>
      </w:r>
      <w:r w:rsidRPr="001866E2">
        <w:rPr>
          <w:lang w:val="en-US"/>
        </w:rPr>
        <w:t xml:space="preserve">Fire regimes and forest structure in a sky island mixed </w:t>
      </w:r>
    </w:p>
    <w:p w:rsidR="00A03512" w:rsidRPr="001866E2" w:rsidRDefault="00A03512" w:rsidP="001866E2">
      <w:pPr>
        <w:autoSpaceDE w:val="0"/>
        <w:autoSpaceDN w:val="0"/>
        <w:adjustRightInd w:val="0"/>
        <w:spacing w:line="360" w:lineRule="auto"/>
        <w:ind w:firstLine="720"/>
        <w:rPr>
          <w:lang w:val="en-US"/>
        </w:rPr>
      </w:pPr>
      <w:r w:rsidRPr="001866E2">
        <w:rPr>
          <w:lang w:val="en-US"/>
        </w:rPr>
        <w:t xml:space="preserve">conifer forest, Guadalupe Mountains National Park, Texas. Forest Ecology and </w:t>
      </w:r>
    </w:p>
    <w:p w:rsidR="00A03512" w:rsidRPr="001866E2" w:rsidRDefault="00A03512" w:rsidP="001866E2">
      <w:pPr>
        <w:autoSpaceDE w:val="0"/>
        <w:autoSpaceDN w:val="0"/>
        <w:adjustRightInd w:val="0"/>
        <w:spacing w:line="360" w:lineRule="auto"/>
        <w:ind w:firstLine="720"/>
        <w:rPr>
          <w:lang w:val="en-US"/>
        </w:rPr>
      </w:pPr>
      <w:r w:rsidRPr="001866E2">
        <w:rPr>
          <w:lang w:val="en-US"/>
        </w:rPr>
        <w:t>Management 241:62–73.</w:t>
      </w:r>
    </w:p>
    <w:p w:rsidR="00A03512" w:rsidRPr="00AD1A26" w:rsidRDefault="00A03512" w:rsidP="00AD1A26">
      <w:pPr>
        <w:autoSpaceDE w:val="0"/>
        <w:autoSpaceDN w:val="0"/>
        <w:adjustRightInd w:val="0"/>
        <w:spacing w:line="360" w:lineRule="auto"/>
        <w:rPr>
          <w:lang w:val="fr-FR"/>
        </w:rPr>
      </w:pPr>
      <w:r>
        <w:rPr>
          <w:lang w:val="fr-FR"/>
        </w:rPr>
        <w:t>USEPA.</w:t>
      </w:r>
      <w:r w:rsidRPr="00AD1A26">
        <w:rPr>
          <w:lang w:val="fr-FR"/>
        </w:rPr>
        <w:t xml:space="preserve"> </w:t>
      </w:r>
      <w:r>
        <w:rPr>
          <w:lang w:val="fr-FR"/>
        </w:rPr>
        <w:t xml:space="preserve"> </w:t>
      </w:r>
      <w:r w:rsidRPr="00AD1A26">
        <w:rPr>
          <w:lang w:val="fr-FR"/>
        </w:rPr>
        <w:t xml:space="preserve">2000. </w:t>
      </w:r>
      <w:r>
        <w:rPr>
          <w:lang w:val="fr-FR"/>
        </w:rPr>
        <w:t xml:space="preserve"> </w:t>
      </w:r>
      <w:r w:rsidRPr="00AD1A26">
        <w:rPr>
          <w:lang w:val="fr-FR"/>
        </w:rPr>
        <w:t xml:space="preserve">Stressor identification guidance document. U. S. Environmental Protection </w:t>
      </w:r>
    </w:p>
    <w:p w:rsidR="00A03512" w:rsidRPr="00AD1A26" w:rsidRDefault="00A03512" w:rsidP="00AD1A26">
      <w:pPr>
        <w:autoSpaceDE w:val="0"/>
        <w:autoSpaceDN w:val="0"/>
        <w:adjustRightInd w:val="0"/>
        <w:spacing w:line="360" w:lineRule="auto"/>
        <w:ind w:firstLine="720"/>
        <w:rPr>
          <w:lang w:val="en-US"/>
        </w:rPr>
      </w:pPr>
      <w:r w:rsidRPr="00AD1A26">
        <w:rPr>
          <w:lang w:val="en-US"/>
        </w:rPr>
        <w:t>Agency. Office of Research and Development. Washingotn, D.C., USA.</w:t>
      </w:r>
    </w:p>
    <w:p w:rsidR="00A03512" w:rsidRDefault="00A03512" w:rsidP="003B71D4">
      <w:pPr>
        <w:autoSpaceDE w:val="0"/>
        <w:autoSpaceDN w:val="0"/>
        <w:adjustRightInd w:val="0"/>
        <w:spacing w:line="360" w:lineRule="auto"/>
        <w:rPr>
          <w:lang w:val="en-US"/>
        </w:rPr>
      </w:pPr>
      <w:r>
        <w:rPr>
          <w:lang w:val="en-US"/>
        </w:rPr>
        <w:t xml:space="preserve">U.S. </w:t>
      </w:r>
      <w:r w:rsidRPr="00A06098">
        <w:rPr>
          <w:lang w:val="en-US"/>
        </w:rPr>
        <w:t xml:space="preserve">National Park Service. </w:t>
      </w:r>
      <w:r>
        <w:rPr>
          <w:lang w:val="en-US"/>
        </w:rPr>
        <w:t xml:space="preserve"> </w:t>
      </w:r>
      <w:r w:rsidRPr="00440BFA">
        <w:rPr>
          <w:lang w:val="en-US"/>
        </w:rPr>
        <w:t xml:space="preserve">2010. </w:t>
      </w:r>
      <w:r>
        <w:rPr>
          <w:lang w:val="en-US"/>
        </w:rPr>
        <w:t xml:space="preserve"> </w:t>
      </w:r>
      <w:r w:rsidRPr="00B20F9B">
        <w:rPr>
          <w:lang w:val="en-US"/>
        </w:rPr>
        <w:t>Pagina web del United States National Park Service</w:t>
      </w:r>
      <w:r>
        <w:rPr>
          <w:lang w:val="en-US"/>
        </w:rPr>
        <w:t>.</w:t>
      </w:r>
      <w:r w:rsidRPr="00B20F9B">
        <w:rPr>
          <w:lang w:val="en-US"/>
        </w:rPr>
        <w:t xml:space="preserve"> </w:t>
      </w:r>
    </w:p>
    <w:p w:rsidR="00A03512" w:rsidRDefault="00A03512" w:rsidP="003B71D4">
      <w:pPr>
        <w:autoSpaceDE w:val="0"/>
        <w:autoSpaceDN w:val="0"/>
        <w:adjustRightInd w:val="0"/>
        <w:spacing w:line="360" w:lineRule="auto"/>
        <w:ind w:firstLine="708"/>
        <w:rPr>
          <w:lang w:val="es-ES"/>
        </w:rPr>
      </w:pPr>
      <w:r w:rsidRPr="00B20F9B">
        <w:rPr>
          <w:lang w:val="en-US"/>
        </w:rPr>
        <w:t xml:space="preserve">&lt;http://science.nature.nps.gov/im/monitor/index.cfm&gt;. </w:t>
      </w:r>
      <w:r>
        <w:rPr>
          <w:lang w:val="es-ES"/>
        </w:rPr>
        <w:t>C</w:t>
      </w:r>
      <w:r w:rsidRPr="00B20F9B">
        <w:rPr>
          <w:lang w:val="es-ES"/>
        </w:rPr>
        <w:t>onsultada</w:t>
      </w:r>
      <w:r>
        <w:rPr>
          <w:lang w:val="es-ES"/>
        </w:rPr>
        <w:t xml:space="preserve"> el 16 de Diciembre de </w:t>
      </w:r>
    </w:p>
    <w:p w:rsidR="00A03512" w:rsidRDefault="00A03512" w:rsidP="003B71D4">
      <w:pPr>
        <w:spacing w:line="360" w:lineRule="auto"/>
        <w:ind w:firstLine="708"/>
        <w:rPr>
          <w:lang w:val="es-ES"/>
        </w:rPr>
      </w:pPr>
      <w:r>
        <w:rPr>
          <w:lang w:val="es-ES"/>
        </w:rPr>
        <w:t>2010.</w:t>
      </w:r>
    </w:p>
    <w:p w:rsidR="00A03512" w:rsidRDefault="00A03512" w:rsidP="00BC6877">
      <w:pPr>
        <w:spacing w:line="360" w:lineRule="auto"/>
        <w:rPr>
          <w:lang w:val="en-US"/>
        </w:rPr>
      </w:pPr>
      <w:r w:rsidRPr="00BC6877">
        <w:rPr>
          <w:lang w:val="en-US"/>
        </w:rPr>
        <w:t xml:space="preserve">Whitford, W. G., and B. T. Bestelmeyer. </w:t>
      </w:r>
      <w:r>
        <w:rPr>
          <w:lang w:val="en-US"/>
        </w:rPr>
        <w:t xml:space="preserve"> </w:t>
      </w:r>
      <w:r w:rsidRPr="00BC6877">
        <w:rPr>
          <w:lang w:val="en-US"/>
        </w:rPr>
        <w:t xml:space="preserve">2006. </w:t>
      </w:r>
      <w:r>
        <w:rPr>
          <w:lang w:val="en-US"/>
        </w:rPr>
        <w:t xml:space="preserve"> </w:t>
      </w:r>
      <w:r w:rsidRPr="00BC6877">
        <w:rPr>
          <w:lang w:val="en-US"/>
        </w:rPr>
        <w:t xml:space="preserve">Chihuahuan desert fauna: Effects on ecosystem </w:t>
      </w:r>
    </w:p>
    <w:p w:rsidR="00A03512" w:rsidRDefault="00A03512" w:rsidP="00BC6877">
      <w:pPr>
        <w:spacing w:line="360" w:lineRule="auto"/>
        <w:ind w:firstLine="720"/>
        <w:rPr>
          <w:lang w:val="en-US"/>
        </w:rPr>
      </w:pPr>
      <w:r w:rsidRPr="00BC6877">
        <w:rPr>
          <w:lang w:val="en-US"/>
        </w:rPr>
        <w:t>Properties</w:t>
      </w:r>
      <w:r>
        <w:rPr>
          <w:lang w:val="en-US"/>
        </w:rPr>
        <w:t xml:space="preserve"> </w:t>
      </w:r>
      <w:r w:rsidRPr="00BC6877">
        <w:rPr>
          <w:lang w:val="en-US"/>
        </w:rPr>
        <w:t xml:space="preserve">and processes. Pages 247–265 in K. M. Havstad, L. F. Heunneke, and W. H. </w:t>
      </w:r>
    </w:p>
    <w:p w:rsidR="00A03512" w:rsidRPr="00C813A3" w:rsidRDefault="00A03512" w:rsidP="00BC6877">
      <w:pPr>
        <w:spacing w:line="360" w:lineRule="auto"/>
        <w:ind w:firstLine="720"/>
      </w:pPr>
      <w:r w:rsidRPr="00BC6877">
        <w:rPr>
          <w:lang w:val="en-US"/>
        </w:rPr>
        <w:t>Schlesinger, eds.,</w:t>
      </w:r>
      <w:r>
        <w:rPr>
          <w:lang w:val="en-US"/>
        </w:rPr>
        <w:t xml:space="preserve"> </w:t>
      </w:r>
      <w:r w:rsidRPr="00BC6877">
        <w:rPr>
          <w:lang w:val="en-US"/>
        </w:rPr>
        <w:t xml:space="preserve">Structure and function of a Chihuahuan Desert ecosystem. </w:t>
      </w:r>
      <w:r w:rsidRPr="00C813A3">
        <w:t xml:space="preserve">New York: </w:t>
      </w:r>
    </w:p>
    <w:p w:rsidR="00A03512" w:rsidRPr="00C813A3" w:rsidRDefault="00A03512" w:rsidP="00BC6877">
      <w:pPr>
        <w:spacing w:line="360" w:lineRule="auto"/>
        <w:ind w:firstLine="720"/>
      </w:pPr>
      <w:r w:rsidRPr="00C813A3">
        <w:t>Oxford University Press.</w:t>
      </w:r>
    </w:p>
    <w:p w:rsidR="00A03512" w:rsidRPr="00C813A3" w:rsidRDefault="00A03512" w:rsidP="00725C0D">
      <w:pPr>
        <w:spacing w:line="360" w:lineRule="auto"/>
      </w:pPr>
    </w:p>
    <w:p w:rsidR="00A03512" w:rsidRPr="00C813A3" w:rsidRDefault="00A03512">
      <w:pPr>
        <w:spacing w:after="200" w:line="276" w:lineRule="auto"/>
      </w:pPr>
      <w:r w:rsidRPr="00C813A3">
        <w:br w:type="page"/>
      </w:r>
    </w:p>
    <w:p w:rsidR="00A03512" w:rsidRDefault="00A03512" w:rsidP="00725C0D">
      <w:pPr>
        <w:jc w:val="center"/>
        <w:rPr>
          <w:rFonts w:ascii="Calibri" w:hAnsi="Calibri" w:cs="Calibri"/>
          <w:b/>
          <w:bCs/>
          <w:sz w:val="36"/>
          <w:szCs w:val="36"/>
        </w:rPr>
      </w:pPr>
      <w:r w:rsidRPr="00A73217">
        <w:rPr>
          <w:rFonts w:ascii="Calibri" w:hAnsi="Calibri" w:cs="Calibri"/>
          <w:b/>
          <w:bCs/>
          <w:sz w:val="36"/>
          <w:szCs w:val="36"/>
        </w:rPr>
        <w:t>Anexo I</w:t>
      </w:r>
    </w:p>
    <w:p w:rsidR="00A03512" w:rsidRPr="00A73217" w:rsidRDefault="00A03512" w:rsidP="00725C0D">
      <w:pPr>
        <w:jc w:val="center"/>
        <w:rPr>
          <w:rFonts w:ascii="Calibri" w:hAnsi="Calibri" w:cs="Calibri"/>
          <w:b/>
          <w:bCs/>
          <w:sz w:val="36"/>
          <w:szCs w:val="36"/>
        </w:rPr>
      </w:pPr>
    </w:p>
    <w:p w:rsidR="00A03512" w:rsidRDefault="00A03512" w:rsidP="00725C0D">
      <w:pPr>
        <w:jc w:val="center"/>
        <w:rPr>
          <w:rFonts w:ascii="Calibri" w:hAnsi="Calibri" w:cs="Calibri"/>
          <w:b/>
          <w:bCs/>
          <w:sz w:val="32"/>
          <w:szCs w:val="32"/>
        </w:rPr>
      </w:pPr>
      <w:r w:rsidRPr="00D27EB2">
        <w:rPr>
          <w:rFonts w:ascii="Calibri" w:hAnsi="Calibri" w:cs="Calibri"/>
          <w:b/>
          <w:bCs/>
          <w:sz w:val="32"/>
          <w:szCs w:val="32"/>
        </w:rPr>
        <w:t xml:space="preserve">Comité de Monitoreo de Signos Vitales para la </w:t>
      </w:r>
    </w:p>
    <w:p w:rsidR="00A03512" w:rsidRPr="00D27EB2" w:rsidRDefault="00A03512" w:rsidP="00725C0D">
      <w:pPr>
        <w:jc w:val="center"/>
        <w:rPr>
          <w:rFonts w:ascii="Calibri" w:hAnsi="Calibri" w:cs="Calibri"/>
          <w:b/>
          <w:bCs/>
          <w:sz w:val="32"/>
          <w:szCs w:val="32"/>
        </w:rPr>
      </w:pPr>
      <w:r w:rsidRPr="00D27EB2">
        <w:rPr>
          <w:rFonts w:ascii="Calibri" w:hAnsi="Calibri" w:cs="Calibri"/>
          <w:b/>
          <w:bCs/>
          <w:sz w:val="32"/>
          <w:szCs w:val="32"/>
        </w:rPr>
        <w:t>Región Noreste y Sierra Madre Oriental</w:t>
      </w:r>
    </w:p>
    <w:p w:rsidR="00A03512" w:rsidRDefault="00A03512" w:rsidP="00725C0D">
      <w:pPr>
        <w:rPr>
          <w:rFonts w:ascii="Calibri" w:hAnsi="Calibri" w:cs="Calibri"/>
        </w:rPr>
      </w:pPr>
    </w:p>
    <w:p w:rsidR="00A03512" w:rsidRDefault="00A03512" w:rsidP="00725C0D">
      <w:pPr>
        <w:rPr>
          <w:rFonts w:ascii="Calibri" w:hAnsi="Calibri" w:cs="Calibri"/>
        </w:rPr>
      </w:pPr>
    </w:p>
    <w:p w:rsidR="00A03512" w:rsidRPr="00D27EB2" w:rsidRDefault="00A03512" w:rsidP="00725C0D">
      <w:pPr>
        <w:ind w:firstLine="708"/>
        <w:rPr>
          <w:rFonts w:ascii="Calibri" w:hAnsi="Calibri" w:cs="Calibri"/>
        </w:rPr>
      </w:pPr>
      <w:r w:rsidRPr="00D27EB2">
        <w:rPr>
          <w:rFonts w:ascii="Calibri" w:hAnsi="Calibri" w:cs="Calibri"/>
        </w:rPr>
        <w:t xml:space="preserve">El conocer la condición de los recursos naturales en las áreas protegidas a través de actividades de inventarios y monitoreos es esencial para el manejo de dichas áreas. Sin embargo, las actividades de monitoreo en las áreas protegidas de nuestro país han sido muy limitadas y se han dirigido solamente a unas pocas especies carismáticas y solamente en un puñado de áreas protegidas; las cuales conforman el Sistema de Información, Monitoreo y Evaluación para la Conservación (SIMEC). La Región Noreste y Sierra Madre Oriental de CONANP en sus procesos internos de planificación ha seleccionado la metodología de “Signos Vitales” como una estrategia para implementar acciones de monitoreo de recursos naturales a largo plazo en sus áreas protegidas, así como para obtener información valiosa que permita implementar acciones de adaptación y mitigación frente al cambio climático. </w:t>
      </w:r>
    </w:p>
    <w:p w:rsidR="00A03512" w:rsidRPr="00D27EB2" w:rsidRDefault="00A03512" w:rsidP="00725C0D">
      <w:pPr>
        <w:rPr>
          <w:rFonts w:ascii="Calibri" w:hAnsi="Calibri" w:cs="Calibri"/>
        </w:rPr>
      </w:pPr>
    </w:p>
    <w:p w:rsidR="00A03512" w:rsidRPr="00D27EB2" w:rsidRDefault="00A03512" w:rsidP="00725C0D">
      <w:pPr>
        <w:ind w:firstLine="708"/>
        <w:rPr>
          <w:rFonts w:ascii="Calibri" w:hAnsi="Calibri" w:cs="Calibri"/>
        </w:rPr>
      </w:pPr>
      <w:r w:rsidRPr="00D27EB2">
        <w:rPr>
          <w:rFonts w:ascii="Calibri" w:hAnsi="Calibri" w:cs="Calibri"/>
        </w:rPr>
        <w:t>La metodología de Signos Vitales  fue desarrollada por el Servicio de Parques Nacionales en los Estados Unidos de América y se basa en identificar los recursos naturales en las áreas protegidas, determinar su condición actual, y monitorear los cambios en el futuro. Esta herramienta permite a los manejadores de áreas protegidas identificar los procesos de cambio en los ecosistemas a tiempo para tomar medidas de manejo. Para lograr lo anterior, esta metodología utiliza el conocimiento y experiencia de especialistas de las ciencias de la vida, tierra y atmosfera con el objeto de identificar los “signos vitales” más apropiados para las áreas protegidas. El proceso de planificación para llegar a un plan de monitoreo de signos vitales en áreas protegidas es supervisado por un Comité de Monitoreo de Signos Vitales quien es la entidad que le da la dirección y seguimiento a las actividades encaminadas a la implementación de las acciones de monitoreo en las áreas protegidas. Como parte de las reuniones de planeación y talleres realizados hasta le fecha por la Región Noreste y Sierra Madre Oriental, junto con sus colaboradores, se ha determinado que el mencionado comité estará integrado por las siguientes personas:</w:t>
      </w:r>
    </w:p>
    <w:p w:rsidR="00A03512" w:rsidRPr="00D27EB2" w:rsidRDefault="00A03512" w:rsidP="00725C0D">
      <w:pPr>
        <w:rPr>
          <w:rFonts w:ascii="Calibri" w:hAnsi="Calibri" w:cs="Calibri"/>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18"/>
        <w:gridCol w:w="3060"/>
        <w:gridCol w:w="3276"/>
      </w:tblGrid>
      <w:tr w:rsidR="00A03512" w:rsidRPr="00F47C30">
        <w:tc>
          <w:tcPr>
            <w:tcW w:w="2718" w:type="dxa"/>
          </w:tcPr>
          <w:p w:rsidR="00A03512" w:rsidRPr="00F47C30" w:rsidRDefault="00A03512" w:rsidP="004604FA">
            <w:pPr>
              <w:jc w:val="center"/>
              <w:rPr>
                <w:rFonts w:ascii="Calibri" w:hAnsi="Calibri" w:cs="Calibri"/>
                <w:b/>
                <w:bCs/>
              </w:rPr>
            </w:pPr>
            <w:r w:rsidRPr="00F47C30">
              <w:rPr>
                <w:rFonts w:ascii="Calibri" w:hAnsi="Calibri" w:cs="Calibri"/>
                <w:b/>
                <w:bCs/>
                <w:sz w:val="22"/>
                <w:szCs w:val="22"/>
              </w:rPr>
              <w:t>Nombre</w:t>
            </w:r>
          </w:p>
        </w:tc>
        <w:tc>
          <w:tcPr>
            <w:tcW w:w="3060" w:type="dxa"/>
          </w:tcPr>
          <w:p w:rsidR="00A03512" w:rsidRPr="00F47C30" w:rsidRDefault="00A03512" w:rsidP="004604FA">
            <w:pPr>
              <w:jc w:val="center"/>
              <w:rPr>
                <w:rFonts w:ascii="Calibri" w:hAnsi="Calibri" w:cs="Calibri"/>
                <w:b/>
                <w:bCs/>
              </w:rPr>
            </w:pPr>
            <w:r w:rsidRPr="00F47C30">
              <w:rPr>
                <w:rFonts w:ascii="Calibri" w:hAnsi="Calibri" w:cs="Calibri"/>
                <w:b/>
                <w:bCs/>
                <w:sz w:val="22"/>
                <w:szCs w:val="22"/>
              </w:rPr>
              <w:t>Puesto</w:t>
            </w:r>
          </w:p>
        </w:tc>
        <w:tc>
          <w:tcPr>
            <w:tcW w:w="3276" w:type="dxa"/>
          </w:tcPr>
          <w:p w:rsidR="00A03512" w:rsidRPr="00F47C30" w:rsidRDefault="00A03512" w:rsidP="004604FA">
            <w:pPr>
              <w:jc w:val="center"/>
              <w:rPr>
                <w:rFonts w:ascii="Calibri" w:hAnsi="Calibri" w:cs="Calibri"/>
                <w:b/>
                <w:bCs/>
              </w:rPr>
            </w:pPr>
            <w:r w:rsidRPr="00F47C30">
              <w:rPr>
                <w:rFonts w:ascii="Calibri" w:hAnsi="Calibri" w:cs="Calibri"/>
                <w:b/>
                <w:bCs/>
                <w:sz w:val="22"/>
                <w:szCs w:val="22"/>
              </w:rPr>
              <w:t>Contacto</w:t>
            </w:r>
          </w:p>
        </w:tc>
      </w:tr>
      <w:tr w:rsidR="00A03512" w:rsidRPr="00F47C30">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Carlos Sifuentes Lugo</w:t>
            </w:r>
          </w:p>
        </w:tc>
        <w:tc>
          <w:tcPr>
            <w:tcW w:w="3060" w:type="dxa"/>
          </w:tcPr>
          <w:p w:rsidR="00A03512" w:rsidRPr="00F47C30" w:rsidRDefault="00A03512" w:rsidP="004604FA">
            <w:pPr>
              <w:rPr>
                <w:rFonts w:ascii="Calibri" w:hAnsi="Calibri" w:cs="Calibri"/>
              </w:rPr>
            </w:pPr>
            <w:r w:rsidRPr="00F47C30">
              <w:rPr>
                <w:rFonts w:ascii="Calibri" w:hAnsi="Calibri" w:cs="Calibri"/>
                <w:sz w:val="22"/>
                <w:szCs w:val="22"/>
              </w:rPr>
              <w:t>Director, COBIO Cañón de Santa Elena-Maderas del Carmen</w:t>
            </w:r>
          </w:p>
        </w:tc>
        <w:tc>
          <w:tcPr>
            <w:tcW w:w="3276" w:type="dxa"/>
          </w:tcPr>
          <w:p w:rsidR="00A03512" w:rsidRPr="00F47C30" w:rsidRDefault="00A03512" w:rsidP="004604FA">
            <w:pPr>
              <w:rPr>
                <w:rFonts w:ascii="Calibri" w:hAnsi="Calibri" w:cs="Calibri"/>
              </w:rPr>
            </w:pPr>
            <w:r w:rsidRPr="00F47C30">
              <w:rPr>
                <w:rFonts w:ascii="Calibri" w:hAnsi="Calibri" w:cs="Calibri"/>
                <w:sz w:val="22"/>
                <w:szCs w:val="22"/>
              </w:rPr>
              <w:t>Área de Protección de Flora y Fauna Cañón de Santa Elena</w:t>
            </w:r>
          </w:p>
          <w:p w:rsidR="00A03512" w:rsidRPr="00F47C30" w:rsidRDefault="00A03512" w:rsidP="004604FA">
            <w:pPr>
              <w:rPr>
                <w:rFonts w:ascii="Calibri" w:hAnsi="Calibri" w:cs="Calibri"/>
              </w:rPr>
            </w:pPr>
            <w:r w:rsidRPr="00F47C30">
              <w:rPr>
                <w:rFonts w:ascii="Calibri" w:hAnsi="Calibri" w:cs="Calibri"/>
                <w:sz w:val="22"/>
                <w:szCs w:val="22"/>
              </w:rPr>
              <w:t>Benito Juárez No. 2, Manuel Benavides, Chihuahua, México; (626) 454 0118</w:t>
            </w:r>
          </w:p>
          <w:p w:rsidR="00A03512" w:rsidRPr="00F47C30" w:rsidRDefault="00A03512" w:rsidP="004604FA">
            <w:pPr>
              <w:rPr>
                <w:rFonts w:ascii="Calibri" w:hAnsi="Calibri" w:cs="Calibri"/>
              </w:rPr>
            </w:pPr>
            <w:r w:rsidRPr="00F47C30">
              <w:rPr>
                <w:rFonts w:ascii="Calibri" w:hAnsi="Calibri" w:cs="Calibri"/>
                <w:sz w:val="22"/>
                <w:szCs w:val="22"/>
              </w:rPr>
              <w:t>Área de Protección de Flora y Fauna Maderas del Carmen</w:t>
            </w:r>
          </w:p>
          <w:p w:rsidR="00A03512" w:rsidRPr="00F47C30" w:rsidRDefault="00A03512" w:rsidP="004604FA">
            <w:pPr>
              <w:rPr>
                <w:rFonts w:ascii="Calibri" w:hAnsi="Calibri" w:cs="Calibri"/>
              </w:rPr>
            </w:pPr>
            <w:r w:rsidRPr="00F47C30">
              <w:rPr>
                <w:rFonts w:ascii="Calibri" w:hAnsi="Calibri" w:cs="Calibri"/>
                <w:sz w:val="22"/>
                <w:szCs w:val="22"/>
              </w:rPr>
              <w:t>Blvd. Muzquiz Km 2, Muzquiz, Coahuila, México (864) 616 6855</w:t>
            </w:r>
          </w:p>
          <w:p w:rsidR="00A03512" w:rsidRPr="00F47C30" w:rsidRDefault="00A03512" w:rsidP="004604FA">
            <w:pPr>
              <w:rPr>
                <w:rFonts w:ascii="Calibri" w:hAnsi="Calibri" w:cs="Calibri"/>
              </w:rPr>
            </w:pPr>
            <w:hyperlink r:id="rId18" w:history="1">
              <w:r w:rsidRPr="00F47C30">
                <w:rPr>
                  <w:rStyle w:val="Hyperlink"/>
                  <w:rFonts w:ascii="Calibri" w:hAnsi="Calibri" w:cs="Calibri"/>
                  <w:sz w:val="22"/>
                  <w:szCs w:val="22"/>
                </w:rPr>
                <w:t>casifuentes@conanp.gob.mx</w:t>
              </w:r>
            </w:hyperlink>
          </w:p>
        </w:tc>
      </w:tr>
      <w:tr w:rsidR="00A03512" w:rsidRPr="00F47C30">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Ivo Garcia Gutierrez</w:t>
            </w:r>
          </w:p>
        </w:tc>
        <w:tc>
          <w:tcPr>
            <w:tcW w:w="3060" w:type="dxa"/>
          </w:tcPr>
          <w:p w:rsidR="00A03512" w:rsidRPr="00F47C30" w:rsidRDefault="00A03512" w:rsidP="004604FA">
            <w:pPr>
              <w:rPr>
                <w:rFonts w:ascii="Calibri" w:hAnsi="Calibri" w:cs="Calibri"/>
              </w:rPr>
            </w:pPr>
            <w:r w:rsidRPr="00F47C30">
              <w:rPr>
                <w:rFonts w:ascii="Calibri" w:hAnsi="Calibri" w:cs="Calibri"/>
                <w:sz w:val="22"/>
                <w:szCs w:val="22"/>
              </w:rPr>
              <w:t>Director, Área de Protección de Flora y Fauna Cuatrocienegas</w:t>
            </w:r>
          </w:p>
        </w:tc>
        <w:tc>
          <w:tcPr>
            <w:tcW w:w="3276" w:type="dxa"/>
          </w:tcPr>
          <w:p w:rsidR="00A03512" w:rsidRPr="00F47C30" w:rsidRDefault="00A03512" w:rsidP="004604FA">
            <w:pPr>
              <w:rPr>
                <w:rFonts w:ascii="Calibri" w:hAnsi="Calibri" w:cs="Calibri"/>
              </w:rPr>
            </w:pPr>
            <w:r w:rsidRPr="00F47C30">
              <w:rPr>
                <w:rFonts w:ascii="Calibri" w:hAnsi="Calibri" w:cs="Calibri"/>
                <w:sz w:val="22"/>
                <w:szCs w:val="22"/>
              </w:rPr>
              <w:t>Escobedo 200 Poniente, Centro, C.P. 27640, Cuatrocienegas, Coahuila</w:t>
            </w:r>
          </w:p>
          <w:p w:rsidR="00A03512" w:rsidRPr="00F47C30" w:rsidRDefault="00A03512" w:rsidP="004604FA">
            <w:pPr>
              <w:rPr>
                <w:rFonts w:ascii="Calibri" w:hAnsi="Calibri" w:cs="Calibri"/>
              </w:rPr>
            </w:pPr>
            <w:r w:rsidRPr="00F47C30">
              <w:rPr>
                <w:rFonts w:ascii="Calibri" w:hAnsi="Calibri" w:cs="Calibri"/>
                <w:sz w:val="22"/>
                <w:szCs w:val="22"/>
              </w:rPr>
              <w:t xml:space="preserve">+52 (869) 696 0299; </w:t>
            </w:r>
            <w:hyperlink r:id="rId19" w:history="1">
              <w:r w:rsidRPr="00F47C30">
                <w:rPr>
                  <w:rStyle w:val="Hyperlink"/>
                  <w:rFonts w:ascii="Calibri" w:hAnsi="Calibri" w:cs="Calibri"/>
                  <w:sz w:val="22"/>
                  <w:szCs w:val="22"/>
                </w:rPr>
                <w:t>ivogarcia@conanp.gob.mx</w:t>
              </w:r>
            </w:hyperlink>
          </w:p>
        </w:tc>
      </w:tr>
      <w:tr w:rsidR="00A03512" w:rsidRPr="00B07587">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 xml:space="preserve">Andrew Rhodes </w:t>
            </w:r>
            <w:r>
              <w:rPr>
                <w:rFonts w:ascii="Calibri" w:hAnsi="Calibri" w:cs="Calibri"/>
                <w:sz w:val="22"/>
                <w:szCs w:val="22"/>
              </w:rPr>
              <w:t>Espinoza</w:t>
            </w:r>
          </w:p>
        </w:tc>
        <w:tc>
          <w:tcPr>
            <w:tcW w:w="3060" w:type="dxa"/>
          </w:tcPr>
          <w:p w:rsidR="00A03512" w:rsidRPr="00F47C30" w:rsidRDefault="00A03512" w:rsidP="004604FA">
            <w:pPr>
              <w:rPr>
                <w:rFonts w:ascii="Calibri" w:hAnsi="Calibri" w:cs="Calibri"/>
              </w:rPr>
            </w:pPr>
            <w:r w:rsidRPr="00F47C30">
              <w:rPr>
                <w:rFonts w:ascii="Calibri" w:hAnsi="Calibri" w:cs="Calibri"/>
                <w:sz w:val="22"/>
                <w:szCs w:val="22"/>
              </w:rPr>
              <w:t>Director, Estrategia de Cambio Climático-CONANP</w:t>
            </w:r>
          </w:p>
        </w:tc>
        <w:tc>
          <w:tcPr>
            <w:tcW w:w="3276" w:type="dxa"/>
          </w:tcPr>
          <w:p w:rsidR="00A03512" w:rsidRPr="00F47C30" w:rsidRDefault="00A03512" w:rsidP="004604FA">
            <w:pPr>
              <w:rPr>
                <w:rFonts w:ascii="Calibri" w:hAnsi="Calibri" w:cs="Calibri"/>
                <w:lang w:val="es-ES"/>
              </w:rPr>
            </w:pPr>
            <w:r w:rsidRPr="00F47C30">
              <w:rPr>
                <w:rFonts w:ascii="Calibri" w:hAnsi="Calibri" w:cs="Calibri"/>
                <w:sz w:val="22"/>
                <w:szCs w:val="22"/>
                <w:lang w:val="es-ES"/>
              </w:rPr>
              <w:t>Camino al Ajusco 200, Col. Jardines en la Montaña, México, D.F., C.P. 14210,</w:t>
            </w:r>
          </w:p>
          <w:p w:rsidR="00A03512" w:rsidRPr="00725C0D" w:rsidRDefault="00A03512" w:rsidP="004604FA">
            <w:pPr>
              <w:rPr>
                <w:rFonts w:ascii="Calibri" w:hAnsi="Calibri" w:cs="Calibri"/>
                <w:lang w:val="en-US"/>
              </w:rPr>
            </w:pPr>
            <w:r w:rsidRPr="00F47C30">
              <w:rPr>
                <w:rFonts w:ascii="Calibri" w:hAnsi="Calibri" w:cs="Calibri"/>
                <w:sz w:val="22"/>
                <w:szCs w:val="22"/>
                <w:lang w:val="es-ES"/>
              </w:rPr>
              <w:t xml:space="preserve"> </w:t>
            </w:r>
            <w:r w:rsidRPr="00725C0D">
              <w:rPr>
                <w:rFonts w:ascii="Calibri" w:hAnsi="Calibri" w:cs="Calibri"/>
                <w:sz w:val="22"/>
                <w:szCs w:val="22"/>
                <w:lang w:val="en-US"/>
              </w:rPr>
              <w:t>+52 (55) 5449 7000 ext. 17166</w:t>
            </w:r>
          </w:p>
          <w:p w:rsidR="00A03512" w:rsidRPr="00725C0D" w:rsidRDefault="00A03512" w:rsidP="004604FA">
            <w:pPr>
              <w:rPr>
                <w:rFonts w:ascii="Calibri" w:hAnsi="Calibri" w:cs="Calibri"/>
                <w:lang w:val="en-US"/>
              </w:rPr>
            </w:pPr>
            <w:hyperlink r:id="rId20" w:history="1">
              <w:r w:rsidRPr="00725C0D">
                <w:rPr>
                  <w:rStyle w:val="Hyperlink"/>
                  <w:rFonts w:ascii="Calibri" w:hAnsi="Calibri" w:cs="Calibri"/>
                  <w:sz w:val="22"/>
                  <w:szCs w:val="22"/>
                  <w:lang w:val="en-US"/>
                </w:rPr>
                <w:t>arhodes@conanp.gob.mx</w:t>
              </w:r>
            </w:hyperlink>
          </w:p>
        </w:tc>
      </w:tr>
      <w:tr w:rsidR="00A03512" w:rsidRPr="00F47C30">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J. Joel Aguilar Mosqueda</w:t>
            </w:r>
          </w:p>
        </w:tc>
        <w:tc>
          <w:tcPr>
            <w:tcW w:w="3060" w:type="dxa"/>
          </w:tcPr>
          <w:p w:rsidR="00A03512" w:rsidRPr="00F47C30" w:rsidRDefault="00A03512" w:rsidP="004604FA">
            <w:pPr>
              <w:rPr>
                <w:rFonts w:ascii="Calibri" w:hAnsi="Calibri" w:cs="Calibri"/>
                <w:lang w:val="es-ES"/>
              </w:rPr>
            </w:pPr>
            <w:r w:rsidRPr="00F47C30">
              <w:rPr>
                <w:rFonts w:ascii="Calibri" w:hAnsi="Calibri" w:cs="Calibri"/>
                <w:sz w:val="22"/>
                <w:szCs w:val="22"/>
                <w:lang w:val="es-ES"/>
              </w:rPr>
              <w:t>Encargado de Monitoreo-Región Noreste y Sierra Madre Oriental</w:t>
            </w:r>
          </w:p>
          <w:p w:rsidR="00A03512" w:rsidRPr="00F47C30" w:rsidRDefault="00A03512" w:rsidP="004604FA">
            <w:pPr>
              <w:rPr>
                <w:rFonts w:ascii="Calibri" w:hAnsi="Calibri" w:cs="Calibri"/>
              </w:rPr>
            </w:pPr>
          </w:p>
        </w:tc>
        <w:tc>
          <w:tcPr>
            <w:tcW w:w="3276" w:type="dxa"/>
          </w:tcPr>
          <w:p w:rsidR="00A03512" w:rsidRPr="00F47C30" w:rsidRDefault="00A03512" w:rsidP="004604FA">
            <w:pPr>
              <w:rPr>
                <w:rFonts w:ascii="Calibri" w:hAnsi="Calibri" w:cs="Calibri"/>
              </w:rPr>
            </w:pPr>
            <w:r w:rsidRPr="00F47C30">
              <w:rPr>
                <w:rFonts w:ascii="Calibri" w:hAnsi="Calibri" w:cs="Calibri"/>
                <w:sz w:val="22"/>
                <w:szCs w:val="22"/>
              </w:rPr>
              <w:t>Manuel Acuña Narro (Antes Aguascalientes) No. 336, Col. República Poniente,</w:t>
            </w:r>
          </w:p>
          <w:p w:rsidR="00A03512" w:rsidRPr="00F47C30" w:rsidRDefault="00A03512" w:rsidP="004604FA">
            <w:pPr>
              <w:rPr>
                <w:rFonts w:ascii="Calibri" w:hAnsi="Calibri" w:cs="Calibri"/>
              </w:rPr>
            </w:pPr>
            <w:r w:rsidRPr="00F47C30">
              <w:rPr>
                <w:rFonts w:ascii="Calibri" w:hAnsi="Calibri" w:cs="Calibri"/>
                <w:sz w:val="22"/>
                <w:szCs w:val="22"/>
              </w:rPr>
              <w:t>C.P. 25265, Saltillo, Coahuila, México; +52 (844) 415 9375; +52 (844) 415 8634</w:t>
            </w:r>
          </w:p>
          <w:p w:rsidR="00A03512" w:rsidRPr="00F47C30" w:rsidRDefault="00A03512" w:rsidP="004604FA">
            <w:pPr>
              <w:rPr>
                <w:rFonts w:ascii="Calibri" w:hAnsi="Calibri" w:cs="Calibri"/>
              </w:rPr>
            </w:pPr>
            <w:hyperlink r:id="rId21" w:history="1">
              <w:r w:rsidRPr="00F47C30">
                <w:rPr>
                  <w:rStyle w:val="Hyperlink"/>
                  <w:rFonts w:ascii="Calibri" w:hAnsi="Calibri" w:cs="Calibri"/>
                  <w:sz w:val="22"/>
                  <w:szCs w:val="22"/>
                </w:rPr>
                <w:t>jjaguilar@conanp.gob.mx</w:t>
              </w:r>
            </w:hyperlink>
          </w:p>
        </w:tc>
      </w:tr>
      <w:tr w:rsidR="00A03512" w:rsidRPr="00F47C30">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Jose Antonio Davila Paulin</w:t>
            </w:r>
          </w:p>
        </w:tc>
        <w:tc>
          <w:tcPr>
            <w:tcW w:w="3060" w:type="dxa"/>
          </w:tcPr>
          <w:p w:rsidR="00A03512" w:rsidRPr="00F47C30" w:rsidRDefault="00A03512" w:rsidP="004604FA">
            <w:pPr>
              <w:rPr>
                <w:rFonts w:ascii="Calibri" w:hAnsi="Calibri" w:cs="Calibri"/>
              </w:rPr>
            </w:pPr>
            <w:r w:rsidRPr="00F47C30">
              <w:rPr>
                <w:rFonts w:ascii="Calibri" w:hAnsi="Calibri" w:cs="Calibri"/>
                <w:sz w:val="22"/>
                <w:szCs w:val="22"/>
              </w:rPr>
              <w:t xml:space="preserve">Director, </w:t>
            </w:r>
            <w:r>
              <w:rPr>
                <w:rFonts w:ascii="Calibri" w:hAnsi="Calibri" w:cs="Calibri"/>
                <w:sz w:val="22"/>
                <w:szCs w:val="22"/>
              </w:rPr>
              <w:t>APRN de</w:t>
            </w:r>
            <w:r w:rsidRPr="00F47C30">
              <w:rPr>
                <w:rFonts w:ascii="Calibri" w:hAnsi="Calibri" w:cs="Calibri"/>
                <w:sz w:val="22"/>
                <w:szCs w:val="22"/>
              </w:rPr>
              <w:t xml:space="preserve"> </w:t>
            </w:r>
            <w:r>
              <w:rPr>
                <w:rFonts w:ascii="Calibri" w:hAnsi="Calibri" w:cs="Calibri"/>
                <w:sz w:val="22"/>
                <w:szCs w:val="22"/>
              </w:rPr>
              <w:t xml:space="preserve">las </w:t>
            </w:r>
            <w:r w:rsidRPr="00F47C30">
              <w:rPr>
                <w:rFonts w:ascii="Calibri" w:hAnsi="Calibri" w:cs="Calibri"/>
                <w:sz w:val="22"/>
                <w:szCs w:val="22"/>
              </w:rPr>
              <w:t>C</w:t>
            </w:r>
            <w:r>
              <w:rPr>
                <w:rFonts w:ascii="Calibri" w:hAnsi="Calibri" w:cs="Calibri"/>
                <w:sz w:val="22"/>
                <w:szCs w:val="22"/>
              </w:rPr>
              <w:t xml:space="preserve">uencas </w:t>
            </w:r>
            <w:r w:rsidRPr="00F47C30">
              <w:rPr>
                <w:rFonts w:ascii="Calibri" w:hAnsi="Calibri" w:cs="Calibri"/>
                <w:sz w:val="22"/>
                <w:szCs w:val="22"/>
              </w:rPr>
              <w:t>A</w:t>
            </w:r>
            <w:r>
              <w:rPr>
                <w:rFonts w:ascii="Calibri" w:hAnsi="Calibri" w:cs="Calibri"/>
                <w:sz w:val="22"/>
                <w:szCs w:val="22"/>
              </w:rPr>
              <w:t>limentadoras de</w:t>
            </w:r>
            <w:r w:rsidRPr="00F47C30">
              <w:rPr>
                <w:rFonts w:ascii="Calibri" w:hAnsi="Calibri" w:cs="Calibri"/>
                <w:sz w:val="22"/>
                <w:szCs w:val="22"/>
              </w:rPr>
              <w:t xml:space="preserve"> R</w:t>
            </w:r>
            <w:r>
              <w:rPr>
                <w:rFonts w:ascii="Calibri" w:hAnsi="Calibri" w:cs="Calibri"/>
                <w:sz w:val="22"/>
                <w:szCs w:val="22"/>
              </w:rPr>
              <w:t>iego del</w:t>
            </w:r>
            <w:r w:rsidRPr="00F47C30">
              <w:rPr>
                <w:rFonts w:ascii="Calibri" w:hAnsi="Calibri" w:cs="Calibri"/>
                <w:sz w:val="22"/>
                <w:szCs w:val="22"/>
              </w:rPr>
              <w:t xml:space="preserve"> D</w:t>
            </w:r>
            <w:r>
              <w:rPr>
                <w:rFonts w:ascii="Calibri" w:hAnsi="Calibri" w:cs="Calibri"/>
                <w:sz w:val="22"/>
                <w:szCs w:val="22"/>
              </w:rPr>
              <w:t xml:space="preserve">istrito </w:t>
            </w:r>
            <w:r w:rsidRPr="00F47C30">
              <w:rPr>
                <w:rFonts w:ascii="Calibri" w:hAnsi="Calibri" w:cs="Calibri"/>
                <w:sz w:val="22"/>
                <w:szCs w:val="22"/>
              </w:rPr>
              <w:t>04 D</w:t>
            </w:r>
            <w:r>
              <w:rPr>
                <w:rFonts w:ascii="Calibri" w:hAnsi="Calibri" w:cs="Calibri"/>
                <w:sz w:val="22"/>
                <w:szCs w:val="22"/>
              </w:rPr>
              <w:t>on</w:t>
            </w:r>
            <w:r w:rsidRPr="00F47C30">
              <w:rPr>
                <w:rFonts w:ascii="Calibri" w:hAnsi="Calibri" w:cs="Calibri"/>
                <w:sz w:val="22"/>
                <w:szCs w:val="22"/>
              </w:rPr>
              <w:t xml:space="preserve"> M</w:t>
            </w:r>
            <w:r>
              <w:rPr>
                <w:rFonts w:ascii="Calibri" w:hAnsi="Calibri" w:cs="Calibri"/>
                <w:sz w:val="22"/>
                <w:szCs w:val="22"/>
              </w:rPr>
              <w:t>artin</w:t>
            </w:r>
          </w:p>
        </w:tc>
        <w:tc>
          <w:tcPr>
            <w:tcW w:w="3276" w:type="dxa"/>
          </w:tcPr>
          <w:p w:rsidR="00A03512" w:rsidRPr="00F47C30" w:rsidRDefault="00A03512" w:rsidP="004604FA">
            <w:pPr>
              <w:tabs>
                <w:tab w:val="left" w:pos="720"/>
              </w:tabs>
              <w:autoSpaceDE w:val="0"/>
              <w:autoSpaceDN w:val="0"/>
              <w:adjustRightInd w:val="0"/>
              <w:ind w:right="18"/>
              <w:rPr>
                <w:rFonts w:ascii="Calibri" w:hAnsi="Calibri" w:cs="Calibri"/>
              </w:rPr>
            </w:pPr>
            <w:r>
              <w:rPr>
                <w:rFonts w:ascii="Calibri" w:hAnsi="Calibri" w:cs="Calibri"/>
                <w:sz w:val="22"/>
                <w:szCs w:val="22"/>
              </w:rPr>
              <w:t xml:space="preserve">Rivera del rio # 450, </w:t>
            </w:r>
            <w:r w:rsidRPr="0083577D">
              <w:rPr>
                <w:rFonts w:ascii="Calibri" w:hAnsi="Calibri" w:cs="Calibri"/>
                <w:sz w:val="22"/>
                <w:szCs w:val="22"/>
              </w:rPr>
              <w:t>Col. Chapultepec</w:t>
            </w:r>
            <w:r>
              <w:rPr>
                <w:rFonts w:ascii="Calibri" w:hAnsi="Calibri" w:cs="Calibri"/>
                <w:sz w:val="22"/>
                <w:szCs w:val="22"/>
              </w:rPr>
              <w:t>,</w:t>
            </w:r>
            <w:r w:rsidRPr="0083577D">
              <w:rPr>
                <w:rFonts w:ascii="Calibri" w:hAnsi="Calibri" w:cs="Calibri"/>
                <w:sz w:val="22"/>
                <w:szCs w:val="22"/>
              </w:rPr>
              <w:t xml:space="preserve"> CP 26790</w:t>
            </w:r>
            <w:r w:rsidRPr="0083577D">
              <w:rPr>
                <w:rFonts w:ascii="Calibri" w:hAnsi="Calibri" w:cs="Calibri"/>
                <w:sz w:val="22"/>
                <w:szCs w:val="22"/>
              </w:rPr>
              <w:tab/>
            </w:r>
            <w:r>
              <w:rPr>
                <w:rFonts w:ascii="Calibri" w:hAnsi="Calibri" w:cs="Calibri"/>
                <w:sz w:val="22"/>
                <w:szCs w:val="22"/>
              </w:rPr>
              <w:t xml:space="preserve">, </w:t>
            </w:r>
            <w:r w:rsidRPr="0083577D">
              <w:rPr>
                <w:rFonts w:ascii="Calibri" w:hAnsi="Calibri" w:cs="Calibri"/>
                <w:sz w:val="22"/>
                <w:szCs w:val="22"/>
              </w:rPr>
              <w:t>Sabinas, Coahuila</w:t>
            </w:r>
            <w:r>
              <w:rPr>
                <w:rFonts w:ascii="Calibri" w:hAnsi="Calibri" w:cs="Calibri"/>
                <w:sz w:val="22"/>
                <w:szCs w:val="22"/>
              </w:rPr>
              <w:t xml:space="preserve">. Tel. </w:t>
            </w:r>
            <w:r w:rsidRPr="00F47C30">
              <w:rPr>
                <w:rFonts w:ascii="Calibri" w:hAnsi="Calibri" w:cs="Calibri"/>
                <w:sz w:val="22"/>
                <w:szCs w:val="22"/>
              </w:rPr>
              <w:t>861 617</w:t>
            </w:r>
            <w:r>
              <w:rPr>
                <w:rFonts w:ascii="Calibri" w:hAnsi="Calibri" w:cs="Calibri"/>
                <w:sz w:val="22"/>
                <w:szCs w:val="22"/>
              </w:rPr>
              <w:t xml:space="preserve"> </w:t>
            </w:r>
            <w:r w:rsidRPr="00F47C30">
              <w:rPr>
                <w:rFonts w:ascii="Calibri" w:hAnsi="Calibri" w:cs="Calibri"/>
                <w:sz w:val="22"/>
                <w:szCs w:val="22"/>
              </w:rPr>
              <w:t>6495</w:t>
            </w:r>
          </w:p>
          <w:p w:rsidR="00A03512" w:rsidRPr="00F47C30" w:rsidRDefault="00A03512" w:rsidP="004604FA">
            <w:pPr>
              <w:rPr>
                <w:rFonts w:ascii="Calibri" w:hAnsi="Calibri" w:cs="Calibri"/>
              </w:rPr>
            </w:pPr>
            <w:hyperlink r:id="rId22" w:history="1">
              <w:r>
                <w:rPr>
                  <w:rStyle w:val="Hyperlink"/>
                  <w:rFonts w:ascii="Calibri" w:hAnsi="Calibri" w:cs="Calibri"/>
                  <w:sz w:val="22"/>
                  <w:szCs w:val="22"/>
                </w:rPr>
                <w:t>jdavila@conanp.gob.mx</w:t>
              </w:r>
            </w:hyperlink>
          </w:p>
        </w:tc>
      </w:tr>
      <w:tr w:rsidR="00A03512" w:rsidRPr="00F47C30">
        <w:tc>
          <w:tcPr>
            <w:tcW w:w="2718" w:type="dxa"/>
          </w:tcPr>
          <w:p w:rsidR="00A03512" w:rsidRPr="00F47C30" w:rsidRDefault="00A03512" w:rsidP="004604FA">
            <w:pPr>
              <w:rPr>
                <w:rFonts w:ascii="Calibri" w:hAnsi="Calibri" w:cs="Calibri"/>
              </w:rPr>
            </w:pPr>
            <w:r w:rsidRPr="00F47C30">
              <w:rPr>
                <w:rFonts w:ascii="Calibri" w:hAnsi="Calibri" w:cs="Calibri"/>
                <w:sz w:val="22"/>
                <w:szCs w:val="22"/>
              </w:rPr>
              <w:t>Lissette Leyequien Abarca</w:t>
            </w:r>
          </w:p>
        </w:tc>
        <w:tc>
          <w:tcPr>
            <w:tcW w:w="3060" w:type="dxa"/>
          </w:tcPr>
          <w:p w:rsidR="00A03512" w:rsidRPr="00F47C30" w:rsidRDefault="00A03512" w:rsidP="004604FA">
            <w:pPr>
              <w:rPr>
                <w:rFonts w:ascii="Calibri" w:hAnsi="Calibri" w:cs="Calibri"/>
              </w:rPr>
            </w:pPr>
            <w:r w:rsidRPr="00F47C30">
              <w:rPr>
                <w:rFonts w:ascii="Calibri" w:hAnsi="Calibri" w:cs="Calibri"/>
                <w:sz w:val="22"/>
                <w:szCs w:val="22"/>
              </w:rPr>
              <w:t>Directora, Área de Protección de Flora y Fauna Sierra La Mojonera</w:t>
            </w:r>
          </w:p>
        </w:tc>
        <w:tc>
          <w:tcPr>
            <w:tcW w:w="3276" w:type="dxa"/>
          </w:tcPr>
          <w:p w:rsidR="00A03512" w:rsidRDefault="00A03512" w:rsidP="004604FA">
            <w:pPr>
              <w:tabs>
                <w:tab w:val="left" w:pos="720"/>
              </w:tabs>
              <w:autoSpaceDE w:val="0"/>
              <w:autoSpaceDN w:val="0"/>
              <w:adjustRightInd w:val="0"/>
              <w:ind w:right="18"/>
              <w:rPr>
                <w:rFonts w:ascii="Calibri" w:hAnsi="Calibri" w:cs="Calibri"/>
              </w:rPr>
            </w:pPr>
            <w:r w:rsidRPr="00F47C30">
              <w:rPr>
                <w:rFonts w:ascii="Calibri" w:hAnsi="Calibri" w:cs="Calibri"/>
                <w:sz w:val="22"/>
                <w:szCs w:val="22"/>
              </w:rPr>
              <w:t>Calle Circula</w:t>
            </w:r>
            <w:r>
              <w:rPr>
                <w:rFonts w:ascii="Calibri" w:hAnsi="Calibri" w:cs="Calibri"/>
                <w:sz w:val="22"/>
                <w:szCs w:val="22"/>
              </w:rPr>
              <w:t>r</w:t>
            </w:r>
            <w:r w:rsidRPr="00F47C30">
              <w:rPr>
                <w:rFonts w:ascii="Calibri" w:hAnsi="Calibri" w:cs="Calibri"/>
                <w:sz w:val="22"/>
                <w:szCs w:val="22"/>
              </w:rPr>
              <w:t xml:space="preserve"> Pte. # 31</w:t>
            </w:r>
            <w:r>
              <w:rPr>
                <w:rFonts w:ascii="Calibri" w:hAnsi="Calibri" w:cs="Calibri"/>
                <w:sz w:val="22"/>
                <w:szCs w:val="22"/>
              </w:rPr>
              <w:t>,</w:t>
            </w:r>
            <w:r w:rsidRPr="00F47C30">
              <w:rPr>
                <w:rFonts w:ascii="Calibri" w:hAnsi="Calibri" w:cs="Calibri"/>
                <w:sz w:val="22"/>
                <w:szCs w:val="22"/>
              </w:rPr>
              <w:t xml:space="preserve"> Col. La Finca</w:t>
            </w:r>
            <w:r>
              <w:rPr>
                <w:rFonts w:ascii="Calibri" w:hAnsi="Calibri" w:cs="Calibri"/>
                <w:sz w:val="22"/>
                <w:szCs w:val="22"/>
              </w:rPr>
              <w:t>, M</w:t>
            </w:r>
            <w:r w:rsidRPr="00F47C30">
              <w:rPr>
                <w:rFonts w:ascii="Calibri" w:hAnsi="Calibri" w:cs="Calibri"/>
                <w:sz w:val="22"/>
                <w:szCs w:val="22"/>
              </w:rPr>
              <w:t>pio. De Matehuala  CP. 78715</w:t>
            </w:r>
            <w:r>
              <w:rPr>
                <w:rFonts w:ascii="Calibri" w:hAnsi="Calibri" w:cs="Calibri"/>
                <w:sz w:val="22"/>
                <w:szCs w:val="22"/>
              </w:rPr>
              <w:t xml:space="preserve">, </w:t>
            </w:r>
            <w:r w:rsidRPr="0083577D">
              <w:rPr>
                <w:rFonts w:ascii="Calibri" w:hAnsi="Calibri" w:cs="Calibri"/>
                <w:sz w:val="22"/>
                <w:szCs w:val="22"/>
              </w:rPr>
              <w:t>Matehuala</w:t>
            </w:r>
            <w:r>
              <w:rPr>
                <w:rFonts w:ascii="Calibri" w:hAnsi="Calibri" w:cs="Calibri"/>
                <w:sz w:val="22"/>
                <w:szCs w:val="22"/>
              </w:rPr>
              <w:t xml:space="preserve">, San Luis Potosí. Tels. </w:t>
            </w:r>
            <w:r w:rsidRPr="0083577D">
              <w:rPr>
                <w:rFonts w:ascii="Calibri" w:hAnsi="Calibri" w:cs="Calibri"/>
                <w:sz w:val="22"/>
                <w:szCs w:val="22"/>
              </w:rPr>
              <w:t>(444) 2043127</w:t>
            </w:r>
            <w:r>
              <w:rPr>
                <w:rFonts w:ascii="Calibri" w:hAnsi="Calibri" w:cs="Calibri"/>
                <w:sz w:val="22"/>
                <w:szCs w:val="22"/>
              </w:rPr>
              <w:t xml:space="preserve">; </w:t>
            </w:r>
            <w:r w:rsidRPr="0083577D">
              <w:rPr>
                <w:rFonts w:ascii="Calibri" w:hAnsi="Calibri" w:cs="Calibri"/>
                <w:sz w:val="22"/>
                <w:szCs w:val="22"/>
              </w:rPr>
              <w:t>8878310</w:t>
            </w:r>
            <w:r>
              <w:rPr>
                <w:rFonts w:ascii="Calibri" w:hAnsi="Calibri" w:cs="Calibri"/>
                <w:sz w:val="22"/>
                <w:szCs w:val="22"/>
              </w:rPr>
              <w:t xml:space="preserve"> y (</w:t>
            </w:r>
            <w:r w:rsidRPr="0083577D">
              <w:rPr>
                <w:rFonts w:ascii="Calibri" w:hAnsi="Calibri" w:cs="Calibri"/>
                <w:sz w:val="22"/>
                <w:szCs w:val="22"/>
              </w:rPr>
              <w:t>488</w:t>
            </w:r>
            <w:r>
              <w:rPr>
                <w:rFonts w:ascii="Calibri" w:hAnsi="Calibri" w:cs="Calibri"/>
                <w:sz w:val="22"/>
                <w:szCs w:val="22"/>
              </w:rPr>
              <w:t>)</w:t>
            </w:r>
            <w:r w:rsidRPr="0083577D">
              <w:rPr>
                <w:rFonts w:ascii="Calibri" w:hAnsi="Calibri" w:cs="Calibri"/>
                <w:sz w:val="22"/>
                <w:szCs w:val="22"/>
              </w:rPr>
              <w:t xml:space="preserve">  1020669</w:t>
            </w:r>
          </w:p>
          <w:p w:rsidR="00A03512" w:rsidRPr="00F47C30" w:rsidRDefault="00A03512" w:rsidP="004604FA">
            <w:pPr>
              <w:tabs>
                <w:tab w:val="left" w:pos="720"/>
              </w:tabs>
              <w:autoSpaceDE w:val="0"/>
              <w:autoSpaceDN w:val="0"/>
              <w:adjustRightInd w:val="0"/>
              <w:ind w:right="18"/>
              <w:rPr>
                <w:rFonts w:ascii="Calibri" w:hAnsi="Calibri" w:cs="Calibri"/>
              </w:rPr>
            </w:pPr>
            <w:hyperlink r:id="rId23" w:history="1">
              <w:r w:rsidRPr="00AA1244">
                <w:rPr>
                  <w:rStyle w:val="Hyperlink"/>
                  <w:rFonts w:ascii="Calibri" w:hAnsi="Calibri" w:cs="Calibri"/>
                  <w:sz w:val="22"/>
                  <w:szCs w:val="22"/>
                </w:rPr>
                <w:t>lleyequien@conanp.gob.mx</w:t>
              </w:r>
            </w:hyperlink>
          </w:p>
        </w:tc>
      </w:tr>
      <w:tr w:rsidR="00A03512" w:rsidRPr="00F47C30">
        <w:tc>
          <w:tcPr>
            <w:tcW w:w="2718" w:type="dxa"/>
          </w:tcPr>
          <w:p w:rsidR="00A03512" w:rsidRPr="00F47C30" w:rsidRDefault="00A03512" w:rsidP="004604FA">
            <w:pPr>
              <w:rPr>
                <w:rFonts w:ascii="Calibri" w:hAnsi="Calibri" w:cs="Calibri"/>
              </w:rPr>
            </w:pPr>
            <w:r>
              <w:rPr>
                <w:rFonts w:ascii="Calibri" w:hAnsi="Calibri" w:cs="Calibri"/>
                <w:sz w:val="22"/>
                <w:szCs w:val="22"/>
              </w:rPr>
              <w:t>Oscar Flores Sosa</w:t>
            </w:r>
          </w:p>
        </w:tc>
        <w:tc>
          <w:tcPr>
            <w:tcW w:w="3060" w:type="dxa"/>
          </w:tcPr>
          <w:p w:rsidR="00A03512" w:rsidRPr="00F47C30" w:rsidRDefault="00A03512" w:rsidP="004604FA">
            <w:pPr>
              <w:rPr>
                <w:rFonts w:ascii="Calibri" w:hAnsi="Calibri" w:cs="Calibri"/>
              </w:rPr>
            </w:pPr>
            <w:r>
              <w:rPr>
                <w:rFonts w:ascii="Calibri" w:hAnsi="Calibri" w:cs="Calibri"/>
                <w:sz w:val="22"/>
                <w:szCs w:val="22"/>
              </w:rPr>
              <w:t>Director, Área de Protección de Flora y Fauna Sierra de Alvarez-El Potosí-El Gogorron</w:t>
            </w:r>
          </w:p>
        </w:tc>
        <w:tc>
          <w:tcPr>
            <w:tcW w:w="3276" w:type="dxa"/>
          </w:tcPr>
          <w:p w:rsidR="00A03512" w:rsidRDefault="00A03512" w:rsidP="004604FA">
            <w:pPr>
              <w:rPr>
                <w:rFonts w:ascii="Calibri" w:hAnsi="Calibri" w:cs="Calibri"/>
              </w:rPr>
            </w:pPr>
            <w:r>
              <w:rPr>
                <w:rFonts w:ascii="Calibri" w:hAnsi="Calibri" w:cs="Calibri"/>
                <w:sz w:val="22"/>
                <w:szCs w:val="22"/>
              </w:rPr>
              <w:t>Manuel González No. 143, Col. Tequizquiapan, San Luis Potosí, C.P. 78250; Tel. (4448) 116826</w:t>
            </w:r>
          </w:p>
          <w:p w:rsidR="00A03512" w:rsidRPr="00F47C30" w:rsidRDefault="00A03512" w:rsidP="004604FA">
            <w:pPr>
              <w:rPr>
                <w:rFonts w:ascii="Calibri" w:hAnsi="Calibri" w:cs="Calibri"/>
              </w:rPr>
            </w:pPr>
            <w:hyperlink r:id="rId24" w:history="1">
              <w:r w:rsidRPr="00AA1244">
                <w:rPr>
                  <w:rStyle w:val="Hyperlink"/>
                  <w:rFonts w:ascii="Calibri" w:hAnsi="Calibri" w:cs="Calibri"/>
                  <w:sz w:val="22"/>
                  <w:szCs w:val="22"/>
                </w:rPr>
                <w:t>oflores@conanp.gob.mx</w:t>
              </w:r>
            </w:hyperlink>
          </w:p>
        </w:tc>
      </w:tr>
      <w:tr w:rsidR="00A03512" w:rsidRPr="00F47C30">
        <w:tc>
          <w:tcPr>
            <w:tcW w:w="2718" w:type="dxa"/>
          </w:tcPr>
          <w:p w:rsidR="00A03512" w:rsidRPr="00F47C30" w:rsidRDefault="00A03512" w:rsidP="004604FA">
            <w:pPr>
              <w:rPr>
                <w:rFonts w:ascii="Calibri" w:hAnsi="Calibri" w:cs="Calibri"/>
              </w:rPr>
            </w:pPr>
            <w:r>
              <w:rPr>
                <w:rFonts w:ascii="Calibri" w:hAnsi="Calibri" w:cs="Calibri"/>
                <w:sz w:val="22"/>
                <w:szCs w:val="22"/>
              </w:rPr>
              <w:t>Rogelio Carrera Treviño</w:t>
            </w:r>
          </w:p>
        </w:tc>
        <w:tc>
          <w:tcPr>
            <w:tcW w:w="3060" w:type="dxa"/>
          </w:tcPr>
          <w:p w:rsidR="00A03512" w:rsidRPr="00F47C30" w:rsidRDefault="00A03512" w:rsidP="004604FA">
            <w:pPr>
              <w:rPr>
                <w:rFonts w:ascii="Calibri" w:hAnsi="Calibri" w:cs="Calibri"/>
              </w:rPr>
            </w:pPr>
            <w:r>
              <w:rPr>
                <w:rFonts w:ascii="Calibri" w:hAnsi="Calibri" w:cs="Calibri"/>
                <w:sz w:val="22"/>
                <w:szCs w:val="22"/>
              </w:rPr>
              <w:t>Profesor Titular, UANL</w:t>
            </w:r>
          </w:p>
        </w:tc>
        <w:tc>
          <w:tcPr>
            <w:tcW w:w="3276" w:type="dxa"/>
          </w:tcPr>
          <w:p w:rsidR="00A03512" w:rsidRPr="00105BB7" w:rsidRDefault="00A03512" w:rsidP="00DB3698">
            <w:pPr>
              <w:rPr>
                <w:rFonts w:ascii="Calibri" w:hAnsi="Calibri" w:cs="Calibri"/>
              </w:rPr>
            </w:pPr>
            <w:r>
              <w:rPr>
                <w:rFonts w:ascii="Calibri" w:hAnsi="Calibri" w:cs="Calibri"/>
                <w:sz w:val="22"/>
                <w:szCs w:val="22"/>
              </w:rPr>
              <w:t>Laboratorio de Fauna Silvestre-Facultad de Medicina Veterinaria y Zootecnia-UANL</w:t>
            </w:r>
          </w:p>
          <w:p w:rsidR="00A03512" w:rsidRPr="00105BB7" w:rsidRDefault="00A03512" w:rsidP="00DB3698">
            <w:pPr>
              <w:rPr>
                <w:rFonts w:ascii="Calibri" w:hAnsi="Calibri" w:cs="Calibri"/>
              </w:rPr>
            </w:pPr>
            <w:r w:rsidRPr="00105BB7">
              <w:rPr>
                <w:rFonts w:ascii="Calibri" w:hAnsi="Calibri" w:cs="Calibri"/>
                <w:sz w:val="22"/>
                <w:szCs w:val="22"/>
              </w:rPr>
              <w:t>Campus Ciencias Agropecuarias</w:t>
            </w:r>
          </w:p>
          <w:p w:rsidR="00A03512" w:rsidRPr="00105BB7" w:rsidRDefault="00A03512" w:rsidP="00DB3698">
            <w:pPr>
              <w:rPr>
                <w:rFonts w:ascii="Calibri" w:hAnsi="Calibri" w:cs="Calibri"/>
              </w:rPr>
            </w:pPr>
            <w:r w:rsidRPr="00105BB7">
              <w:rPr>
                <w:rFonts w:ascii="Calibri" w:hAnsi="Calibri" w:cs="Calibri"/>
                <w:sz w:val="22"/>
                <w:szCs w:val="22"/>
              </w:rPr>
              <w:t>Francisco Villa s/n C.P. 66050</w:t>
            </w:r>
          </w:p>
          <w:p w:rsidR="00A03512" w:rsidRPr="00105BB7" w:rsidRDefault="00A03512" w:rsidP="00DB3698">
            <w:pPr>
              <w:rPr>
                <w:rFonts w:ascii="Calibri" w:hAnsi="Calibri" w:cs="Calibri"/>
              </w:rPr>
            </w:pPr>
            <w:r w:rsidRPr="00105BB7">
              <w:rPr>
                <w:rFonts w:ascii="Calibri" w:hAnsi="Calibri" w:cs="Calibri"/>
                <w:sz w:val="22"/>
                <w:szCs w:val="22"/>
              </w:rPr>
              <w:t>Col. Ex-hacienda "El Canadá"</w:t>
            </w:r>
          </w:p>
          <w:p w:rsidR="00A03512" w:rsidRPr="00105BB7" w:rsidRDefault="00A03512" w:rsidP="00DB3698">
            <w:pPr>
              <w:rPr>
                <w:rFonts w:ascii="Calibri" w:hAnsi="Calibri" w:cs="Calibri"/>
              </w:rPr>
            </w:pPr>
            <w:r w:rsidRPr="00105BB7">
              <w:rPr>
                <w:rFonts w:ascii="Calibri" w:hAnsi="Calibri" w:cs="Calibri"/>
                <w:sz w:val="22"/>
                <w:szCs w:val="22"/>
              </w:rPr>
              <w:t>Escobedo, Nuevo León</w:t>
            </w:r>
          </w:p>
          <w:p w:rsidR="00A03512" w:rsidRPr="00105BB7" w:rsidRDefault="00A03512" w:rsidP="00DB3698">
            <w:pPr>
              <w:rPr>
                <w:rFonts w:ascii="Calibri" w:hAnsi="Calibri" w:cs="Calibri"/>
              </w:rPr>
            </w:pPr>
            <w:r>
              <w:rPr>
                <w:rFonts w:ascii="Calibri" w:hAnsi="Calibri" w:cs="Calibri"/>
                <w:sz w:val="22"/>
                <w:szCs w:val="22"/>
              </w:rPr>
              <w:t>(81) 1340 4391; cel. 844 1053580</w:t>
            </w:r>
          </w:p>
          <w:p w:rsidR="00A03512" w:rsidRPr="00105BB7" w:rsidRDefault="00A03512" w:rsidP="00DB3698">
            <w:pPr>
              <w:rPr>
                <w:color w:val="800000"/>
              </w:rPr>
            </w:pPr>
            <w:hyperlink r:id="rId25" w:history="1">
              <w:r>
                <w:rPr>
                  <w:rStyle w:val="Hyperlink"/>
                </w:rPr>
                <w:t>rogelio.carrera-trevino@ttu.edu</w:t>
              </w:r>
            </w:hyperlink>
          </w:p>
        </w:tc>
      </w:tr>
      <w:tr w:rsidR="00A03512" w:rsidRPr="00DB3698">
        <w:tc>
          <w:tcPr>
            <w:tcW w:w="2718" w:type="dxa"/>
          </w:tcPr>
          <w:p w:rsidR="00A03512" w:rsidRPr="00DB3698" w:rsidRDefault="00A03512" w:rsidP="004604FA">
            <w:pPr>
              <w:rPr>
                <w:rFonts w:ascii="Calibri" w:hAnsi="Calibri" w:cs="Calibri"/>
              </w:rPr>
            </w:pPr>
            <w:r w:rsidRPr="00DB3698">
              <w:rPr>
                <w:rFonts w:ascii="Calibri" w:hAnsi="Calibri" w:cs="Calibri"/>
                <w:sz w:val="22"/>
                <w:szCs w:val="22"/>
              </w:rPr>
              <w:t>Haydée Rossina Parra Gallo</w:t>
            </w:r>
          </w:p>
        </w:tc>
        <w:tc>
          <w:tcPr>
            <w:tcW w:w="3060" w:type="dxa"/>
          </w:tcPr>
          <w:p w:rsidR="00A03512" w:rsidRPr="00F47C30" w:rsidRDefault="00A03512" w:rsidP="004604FA">
            <w:pPr>
              <w:rPr>
                <w:rFonts w:ascii="Calibri" w:hAnsi="Calibri" w:cs="Calibri"/>
              </w:rPr>
            </w:pPr>
            <w:r>
              <w:rPr>
                <w:rFonts w:ascii="Calibri" w:hAnsi="Calibri" w:cs="Calibri"/>
                <w:sz w:val="22"/>
                <w:szCs w:val="22"/>
              </w:rPr>
              <w:t>Encargada de Políticas Públicas</w:t>
            </w:r>
            <w:r w:rsidRPr="00F47C30">
              <w:rPr>
                <w:rFonts w:ascii="Calibri" w:hAnsi="Calibri" w:cs="Calibri"/>
                <w:sz w:val="22"/>
                <w:szCs w:val="22"/>
              </w:rPr>
              <w:t>, Programa Desierto Chihuahuense-WWF</w:t>
            </w:r>
          </w:p>
        </w:tc>
        <w:tc>
          <w:tcPr>
            <w:tcW w:w="3276" w:type="dxa"/>
          </w:tcPr>
          <w:p w:rsidR="00A03512" w:rsidRPr="00F47C30" w:rsidRDefault="00A03512" w:rsidP="004604FA">
            <w:pPr>
              <w:rPr>
                <w:rFonts w:ascii="Calibri" w:hAnsi="Calibri" w:cs="Calibri"/>
              </w:rPr>
            </w:pPr>
            <w:r w:rsidRPr="00F47C30">
              <w:rPr>
                <w:rFonts w:ascii="Calibri" w:hAnsi="Calibri" w:cs="Calibri"/>
                <w:sz w:val="22"/>
                <w:szCs w:val="22"/>
              </w:rPr>
              <w:t>Coronado 1005, Col. Centro, Chihuahua, Chihuahua, C.P. 31000</w:t>
            </w:r>
          </w:p>
          <w:p w:rsidR="00A03512" w:rsidRPr="00DB3698" w:rsidRDefault="00A03512" w:rsidP="00DB3698">
            <w:pPr>
              <w:rPr>
                <w:rFonts w:ascii="Calibri" w:hAnsi="Calibri" w:cs="Calibri"/>
                <w:lang w:val="en-US"/>
              </w:rPr>
            </w:pPr>
            <w:r>
              <w:rPr>
                <w:rFonts w:ascii="Calibri" w:hAnsi="Calibri" w:cs="Calibri"/>
                <w:sz w:val="22"/>
                <w:szCs w:val="22"/>
                <w:lang w:val="en-US"/>
              </w:rPr>
              <w:t>+52(614) 415 7526 Ext. 105</w:t>
            </w:r>
            <w:r w:rsidRPr="00DB3698">
              <w:rPr>
                <w:rFonts w:ascii="Calibri" w:hAnsi="Calibri" w:cs="Calibri"/>
                <w:sz w:val="22"/>
                <w:szCs w:val="22"/>
                <w:lang w:val="en-US"/>
              </w:rPr>
              <w:t xml:space="preserve">; </w:t>
            </w:r>
            <w:hyperlink r:id="rId26" w:history="1">
              <w:r w:rsidRPr="002348D6">
                <w:rPr>
                  <w:rStyle w:val="Hyperlink"/>
                  <w:rFonts w:ascii="Calibri" w:hAnsi="Calibri" w:cs="Calibri"/>
                  <w:sz w:val="22"/>
                  <w:szCs w:val="22"/>
                  <w:lang w:val="en-US"/>
                </w:rPr>
                <w:t>hparra@wwfmex.org</w:t>
              </w:r>
            </w:hyperlink>
          </w:p>
        </w:tc>
      </w:tr>
    </w:tbl>
    <w:p w:rsidR="00A03512" w:rsidRPr="00DB3698" w:rsidRDefault="00A03512" w:rsidP="00725C0D">
      <w:pPr>
        <w:rPr>
          <w:rFonts w:ascii="Calibri" w:hAnsi="Calibri" w:cs="Calibri"/>
          <w:lang w:val="en-US"/>
        </w:rPr>
      </w:pPr>
    </w:p>
    <w:p w:rsidR="00A03512" w:rsidRDefault="00A03512">
      <w:pPr>
        <w:spacing w:after="200" w:line="276" w:lineRule="auto"/>
        <w:rPr>
          <w:lang w:val="en-US"/>
        </w:rPr>
      </w:pPr>
      <w:r>
        <w:rPr>
          <w:lang w:val="en-US"/>
        </w:rPr>
        <w:br w:type="page"/>
      </w:r>
    </w:p>
    <w:p w:rsidR="00A03512" w:rsidRDefault="00A03512" w:rsidP="00AC4A5C">
      <w:pPr>
        <w:jc w:val="center"/>
        <w:rPr>
          <w:rFonts w:ascii="Calibri" w:hAnsi="Calibri" w:cs="Calibri"/>
          <w:b/>
          <w:bCs/>
          <w:sz w:val="36"/>
          <w:szCs w:val="36"/>
        </w:rPr>
      </w:pPr>
      <w:r w:rsidRPr="00A73217">
        <w:rPr>
          <w:rFonts w:ascii="Calibri" w:hAnsi="Calibri" w:cs="Calibri"/>
          <w:b/>
          <w:bCs/>
          <w:sz w:val="36"/>
          <w:szCs w:val="36"/>
        </w:rPr>
        <w:t>Anexo I</w:t>
      </w:r>
      <w:r>
        <w:rPr>
          <w:rFonts w:ascii="Calibri" w:hAnsi="Calibri" w:cs="Calibri"/>
          <w:b/>
          <w:bCs/>
          <w:sz w:val="36"/>
          <w:szCs w:val="36"/>
        </w:rPr>
        <w:t>I</w:t>
      </w:r>
    </w:p>
    <w:p w:rsidR="00A03512" w:rsidRPr="00E96445" w:rsidRDefault="00A03512" w:rsidP="00AC4A5C">
      <w:pPr>
        <w:jc w:val="center"/>
        <w:rPr>
          <w:rFonts w:ascii="Calibri" w:hAnsi="Calibri" w:cs="Calibri"/>
          <w:b/>
          <w:bCs/>
          <w:sz w:val="20"/>
          <w:szCs w:val="20"/>
        </w:rPr>
      </w:pPr>
    </w:p>
    <w:p w:rsidR="00A03512" w:rsidRDefault="00A03512" w:rsidP="00AC4A5C">
      <w:pPr>
        <w:jc w:val="center"/>
        <w:rPr>
          <w:rFonts w:ascii="Calibri" w:hAnsi="Calibri" w:cs="Calibri"/>
          <w:b/>
          <w:bCs/>
          <w:sz w:val="32"/>
          <w:szCs w:val="32"/>
        </w:rPr>
      </w:pPr>
      <w:r w:rsidRPr="00AC4A5C">
        <w:rPr>
          <w:rFonts w:ascii="Calibri" w:hAnsi="Calibri" w:cs="Calibri"/>
          <w:b/>
          <w:bCs/>
          <w:sz w:val="32"/>
          <w:szCs w:val="32"/>
        </w:rPr>
        <w:t>Listado de Participantes del Taller de Monitoreo de Signos Vitales en El Corredor Biológico Cañón de Santa Elena-Maderas del Carmen</w:t>
      </w:r>
    </w:p>
    <w:p w:rsidR="00A03512" w:rsidRDefault="00A03512" w:rsidP="00AC4A5C">
      <w:pPr>
        <w:rPr>
          <w:rFonts w:ascii="Calibri" w:hAnsi="Calibri" w:cs="Calibri"/>
        </w:rPr>
      </w:pPr>
    </w:p>
    <w:tbl>
      <w:tblPr>
        <w:tblW w:w="9481" w:type="dxa"/>
        <w:tblInd w:w="2" w:type="dxa"/>
        <w:tblLook w:val="00A0"/>
      </w:tblPr>
      <w:tblGrid>
        <w:gridCol w:w="2669"/>
        <w:gridCol w:w="3194"/>
        <w:gridCol w:w="3618"/>
      </w:tblGrid>
      <w:tr w:rsidR="00A03512" w:rsidRPr="001A4E0E">
        <w:trPr>
          <w:trHeight w:val="300"/>
        </w:trPr>
        <w:tc>
          <w:tcPr>
            <w:tcW w:w="2669" w:type="dxa"/>
            <w:tcBorders>
              <w:top w:val="single" w:sz="4" w:space="0" w:color="auto"/>
              <w:left w:val="nil"/>
              <w:bottom w:val="single" w:sz="4" w:space="0" w:color="auto"/>
              <w:right w:val="nil"/>
            </w:tcBorders>
            <w:noWrap/>
            <w:vAlign w:val="bottom"/>
          </w:tcPr>
          <w:p w:rsidR="00A03512" w:rsidRDefault="00A03512" w:rsidP="001A4E0E">
            <w:pPr>
              <w:jc w:val="center"/>
              <w:rPr>
                <w:rFonts w:ascii="Calibri" w:hAnsi="Calibri" w:cs="Calibri"/>
                <w:b/>
                <w:bCs/>
                <w:color w:val="000000"/>
              </w:rPr>
            </w:pPr>
          </w:p>
          <w:p w:rsidR="00A03512" w:rsidRDefault="00A03512" w:rsidP="001A4E0E">
            <w:pPr>
              <w:jc w:val="center"/>
              <w:rPr>
                <w:rFonts w:ascii="Calibri" w:hAnsi="Calibri" w:cs="Calibri"/>
                <w:b/>
                <w:bCs/>
                <w:color w:val="000000"/>
              </w:rPr>
            </w:pPr>
            <w:r w:rsidRPr="001A4E0E">
              <w:rPr>
                <w:rFonts w:ascii="Calibri" w:hAnsi="Calibri" w:cs="Calibri"/>
                <w:b/>
                <w:bCs/>
                <w:color w:val="000000"/>
                <w:sz w:val="22"/>
                <w:szCs w:val="22"/>
              </w:rPr>
              <w:t>Nombre</w:t>
            </w:r>
          </w:p>
          <w:p w:rsidR="00A03512" w:rsidRPr="001A4E0E" w:rsidRDefault="00A03512" w:rsidP="001A4E0E">
            <w:pPr>
              <w:jc w:val="center"/>
              <w:rPr>
                <w:rFonts w:ascii="Calibri" w:hAnsi="Calibri" w:cs="Calibri"/>
                <w:b/>
                <w:bCs/>
                <w:color w:val="000000"/>
              </w:rPr>
            </w:pPr>
          </w:p>
        </w:tc>
        <w:tc>
          <w:tcPr>
            <w:tcW w:w="3194" w:type="dxa"/>
            <w:tcBorders>
              <w:top w:val="single" w:sz="4" w:space="0" w:color="auto"/>
              <w:left w:val="nil"/>
              <w:bottom w:val="single" w:sz="4" w:space="0" w:color="auto"/>
              <w:right w:val="nil"/>
            </w:tcBorders>
            <w:noWrap/>
            <w:vAlign w:val="bottom"/>
          </w:tcPr>
          <w:p w:rsidR="00A03512" w:rsidRDefault="00A03512" w:rsidP="001A4E0E">
            <w:pPr>
              <w:jc w:val="center"/>
              <w:rPr>
                <w:rFonts w:ascii="Calibri" w:hAnsi="Calibri" w:cs="Calibri"/>
                <w:b/>
                <w:bCs/>
                <w:color w:val="000000"/>
              </w:rPr>
            </w:pPr>
            <w:r w:rsidRPr="001A4E0E">
              <w:rPr>
                <w:rFonts w:ascii="Calibri" w:hAnsi="Calibri" w:cs="Calibri"/>
                <w:b/>
                <w:bCs/>
                <w:color w:val="000000"/>
                <w:sz w:val="22"/>
                <w:szCs w:val="22"/>
              </w:rPr>
              <w:t>Afiliación</w:t>
            </w:r>
          </w:p>
          <w:p w:rsidR="00A03512" w:rsidRPr="001A4E0E" w:rsidRDefault="00A03512" w:rsidP="001A4E0E">
            <w:pPr>
              <w:jc w:val="center"/>
              <w:rPr>
                <w:rFonts w:ascii="Calibri" w:hAnsi="Calibri" w:cs="Calibri"/>
                <w:b/>
                <w:bCs/>
                <w:color w:val="000000"/>
              </w:rPr>
            </w:pPr>
          </w:p>
        </w:tc>
        <w:tc>
          <w:tcPr>
            <w:tcW w:w="3618" w:type="dxa"/>
            <w:tcBorders>
              <w:top w:val="single" w:sz="4" w:space="0" w:color="auto"/>
              <w:left w:val="nil"/>
              <w:bottom w:val="single" w:sz="4" w:space="0" w:color="auto"/>
              <w:right w:val="nil"/>
            </w:tcBorders>
            <w:noWrap/>
            <w:vAlign w:val="bottom"/>
          </w:tcPr>
          <w:p w:rsidR="00A03512" w:rsidRDefault="00A03512" w:rsidP="001A4E0E">
            <w:pPr>
              <w:jc w:val="center"/>
              <w:rPr>
                <w:rFonts w:ascii="Calibri" w:hAnsi="Calibri" w:cs="Calibri"/>
                <w:b/>
                <w:bCs/>
                <w:color w:val="000000"/>
              </w:rPr>
            </w:pPr>
            <w:r w:rsidRPr="001A4E0E">
              <w:rPr>
                <w:rFonts w:ascii="Calibri" w:hAnsi="Calibri" w:cs="Calibri"/>
                <w:b/>
                <w:bCs/>
                <w:color w:val="000000"/>
                <w:sz w:val="22"/>
                <w:szCs w:val="22"/>
              </w:rPr>
              <w:t>Correo</w:t>
            </w:r>
          </w:p>
          <w:p w:rsidR="00A03512" w:rsidRPr="001A4E0E" w:rsidRDefault="00A03512" w:rsidP="001A4E0E">
            <w:pPr>
              <w:jc w:val="center"/>
              <w:rPr>
                <w:rFonts w:ascii="Calibri" w:hAnsi="Calibri" w:cs="Calibri"/>
                <w:b/>
                <w:bCs/>
                <w:color w:val="000000"/>
              </w:rPr>
            </w:pPr>
          </w:p>
        </w:tc>
      </w:tr>
      <w:tr w:rsidR="00A03512" w:rsidRPr="001A4E0E">
        <w:trPr>
          <w:trHeight w:val="300"/>
        </w:trPr>
        <w:tc>
          <w:tcPr>
            <w:tcW w:w="2669" w:type="dxa"/>
            <w:tcBorders>
              <w:top w:val="single" w:sz="4" w:space="0" w:color="auto"/>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 Alfredo Rodriguez</w:t>
            </w:r>
          </w:p>
        </w:tc>
        <w:tc>
          <w:tcPr>
            <w:tcW w:w="3194" w:type="dxa"/>
            <w:tcBorders>
              <w:top w:val="single" w:sz="4" w:space="0" w:color="auto"/>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WWF-Desierto Chihuahuense</w:t>
            </w:r>
          </w:p>
        </w:tc>
        <w:tc>
          <w:tcPr>
            <w:tcW w:w="3618" w:type="dxa"/>
            <w:tcBorders>
              <w:top w:val="single" w:sz="4" w:space="0" w:color="auto"/>
              <w:left w:val="nil"/>
              <w:bottom w:val="nil"/>
              <w:right w:val="nil"/>
            </w:tcBorders>
            <w:noWrap/>
            <w:vAlign w:val="bottom"/>
          </w:tcPr>
          <w:p w:rsidR="00A03512" w:rsidRPr="001A4E0E" w:rsidRDefault="00A03512" w:rsidP="001A4E0E">
            <w:pPr>
              <w:rPr>
                <w:rFonts w:ascii="Calibri" w:hAnsi="Calibri" w:cs="Calibri"/>
                <w:color w:val="0000FF"/>
                <w:u w:val="single"/>
              </w:rPr>
            </w:pPr>
            <w:hyperlink r:id="rId27" w:history="1">
              <w:r w:rsidRPr="001A4E0E">
                <w:rPr>
                  <w:rFonts w:ascii="Calibri" w:hAnsi="Calibri" w:cs="Calibri"/>
                  <w:color w:val="0000FF"/>
                  <w:sz w:val="22"/>
                  <w:szCs w:val="22"/>
                  <w:u w:val="single"/>
                </w:rPr>
                <w:t>alrodriguez@wwfmex.org</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Jesús Valdés Reyna</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UAAAN-Departamento de Botánica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28" w:history="1">
              <w:r w:rsidRPr="001A4E0E">
                <w:rPr>
                  <w:rFonts w:ascii="Calibri" w:hAnsi="Calibri" w:cs="Calibri"/>
                  <w:color w:val="0000FF"/>
                  <w:sz w:val="22"/>
                  <w:szCs w:val="22"/>
                  <w:u w:val="single"/>
                </w:rPr>
                <w:t>jvaldes@uaaan.mx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Andres Najera Diaz</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UAAAN-Departamento Forestal</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29" w:history="1">
              <w:r w:rsidRPr="001A4E0E">
                <w:rPr>
                  <w:rFonts w:ascii="Calibri" w:hAnsi="Calibri" w:cs="Calibri"/>
                  <w:color w:val="0000FF"/>
                  <w:sz w:val="22"/>
                  <w:szCs w:val="22"/>
                  <w:u w:val="single"/>
                </w:rPr>
                <w:t>andresnd@hotmail.com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Jose Javier Ochoa Espinoza</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CONANP-APFF Maderas del Carmen</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0" w:history="1">
              <w:r w:rsidRPr="001A4E0E">
                <w:rPr>
                  <w:rFonts w:ascii="Calibri" w:hAnsi="Calibri" w:cs="Calibri"/>
                  <w:color w:val="0000FF"/>
                  <w:sz w:val="22"/>
                  <w:szCs w:val="22"/>
                  <w:u w:val="single"/>
                </w:rPr>
                <w:t>javier.ochoa@conanp.gob.mx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 Joel Aguilar</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CONANP-Dirección Regional</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1" w:history="1">
              <w:r w:rsidRPr="001A4E0E">
                <w:rPr>
                  <w:rFonts w:ascii="Calibri" w:hAnsi="Calibri" w:cs="Calibri"/>
                  <w:color w:val="0000FF"/>
                  <w:sz w:val="22"/>
                  <w:szCs w:val="22"/>
                  <w:u w:val="single"/>
                </w:rPr>
                <w:t>jjaguilar@conanp.gob.mx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Rogelio Carrera Treviño</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Veterinaria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2" w:history="1">
              <w:r w:rsidRPr="001A4E0E">
                <w:rPr>
                  <w:rFonts w:ascii="Calibri" w:hAnsi="Calibri" w:cs="Calibri"/>
                  <w:color w:val="0000FF"/>
                  <w:sz w:val="22"/>
                  <w:szCs w:val="22"/>
                  <w:u w:val="single"/>
                </w:rPr>
                <w:t>rogelio.carrera-trevino@ttu.edu</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Armando H. Escobedo Galván</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UNAM-Departamento de Zoología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3" w:history="1">
              <w:r w:rsidRPr="001A4E0E">
                <w:rPr>
                  <w:rFonts w:ascii="Calibri" w:hAnsi="Calibri" w:cs="Calibri"/>
                  <w:color w:val="0000FF"/>
                  <w:sz w:val="22"/>
                  <w:szCs w:val="22"/>
                  <w:u w:val="single"/>
                </w:rPr>
                <w:t>elchorvis@gmail.com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Irma Delia Enríquez Anchondo</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UACJ-Instituto de Ciencias Biomédicas</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4" w:history="1">
              <w:r w:rsidRPr="001A4E0E">
                <w:rPr>
                  <w:rFonts w:ascii="Calibri" w:hAnsi="Calibri" w:cs="Calibri"/>
                  <w:color w:val="0000FF"/>
                  <w:sz w:val="22"/>
                  <w:szCs w:val="22"/>
                  <w:u w:val="single"/>
                </w:rPr>
                <w:t>idenrique@yahoo.com.mx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Ignacio J. March Mifsut</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TNC</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5" w:history="1">
              <w:r w:rsidRPr="001A4E0E">
                <w:rPr>
                  <w:rFonts w:ascii="Calibri" w:hAnsi="Calibri" w:cs="Calibri"/>
                  <w:color w:val="0000FF"/>
                  <w:sz w:val="22"/>
                  <w:szCs w:val="22"/>
                  <w:u w:val="single"/>
                </w:rPr>
                <w:t>imarch@tnc.org</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Ignacio Orona Castillo</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UJED-Facultad de Agricultura y Zootecnia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6" w:history="1">
              <w:r w:rsidRPr="001A4E0E">
                <w:rPr>
                  <w:rFonts w:ascii="Calibri" w:hAnsi="Calibri" w:cs="Calibri"/>
                  <w:color w:val="0000FF"/>
                  <w:sz w:val="22"/>
                  <w:szCs w:val="22"/>
                  <w:u w:val="single"/>
                </w:rPr>
                <w:t>orokaz@yahoo.com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Andrew Rhodes Espinoza</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CONANP-Cambio Climático</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7" w:history="1">
              <w:r w:rsidRPr="001A4E0E">
                <w:rPr>
                  <w:rFonts w:ascii="Calibri" w:hAnsi="Calibri" w:cs="Calibri"/>
                  <w:color w:val="0000FF"/>
                  <w:sz w:val="22"/>
                  <w:szCs w:val="22"/>
                  <w:u w:val="single"/>
                </w:rPr>
                <w:t>arhodes@conanp.gob.mx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Lissette Leyequien Abarca</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CONANP-APFF Sierra La Mojonera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8" w:history="1">
              <w:r w:rsidRPr="001A4E0E">
                <w:rPr>
                  <w:rFonts w:ascii="Calibri" w:hAnsi="Calibri" w:cs="Calibri"/>
                  <w:color w:val="0000FF"/>
                  <w:sz w:val="22"/>
                  <w:szCs w:val="22"/>
                  <w:u w:val="single"/>
                </w:rPr>
                <w:t>lleyequien@conanp.gob.mx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Oscar Flores Sosa</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CONANP-Clúster San Luis Potosí</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39" w:history="1">
              <w:r w:rsidRPr="001A4E0E">
                <w:rPr>
                  <w:rFonts w:ascii="Calibri" w:hAnsi="Calibri" w:cs="Calibri"/>
                  <w:color w:val="0000FF"/>
                  <w:sz w:val="22"/>
                  <w:szCs w:val="22"/>
                  <w:u w:val="single"/>
                </w:rPr>
                <w:t>fsosaoscar@hotmail.com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Jose A. Davila Paulin</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CONANP-APRN Don Martin</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0" w:history="1">
              <w:r w:rsidRPr="001A4E0E">
                <w:rPr>
                  <w:rFonts w:ascii="Calibri" w:hAnsi="Calibri" w:cs="Calibri"/>
                  <w:color w:val="0000FF"/>
                  <w:sz w:val="22"/>
                  <w:szCs w:val="22"/>
                  <w:u w:val="single"/>
                </w:rPr>
                <w:t>jdavila@conanp.gob.mx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Ivo Garcia Gutierrez</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CONANP-APFF Cuatrocienegas</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1" w:history="1">
              <w:r w:rsidRPr="001A4E0E">
                <w:rPr>
                  <w:rFonts w:ascii="Calibri" w:hAnsi="Calibri" w:cs="Calibri"/>
                  <w:color w:val="0000FF"/>
                  <w:sz w:val="22"/>
                  <w:szCs w:val="22"/>
                  <w:u w:val="single"/>
                </w:rPr>
                <w:t>ivogarcia@conanp.gob.mx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Ulrico J. Lopez Chuken</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UANL-Ciencias Químicas</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2" w:history="1">
              <w:r w:rsidRPr="001A4E0E">
                <w:rPr>
                  <w:rFonts w:ascii="Calibri" w:hAnsi="Calibri" w:cs="Calibri"/>
                  <w:color w:val="0000FF"/>
                  <w:sz w:val="22"/>
                  <w:szCs w:val="22"/>
                  <w:u w:val="single"/>
                </w:rPr>
                <w:t>ulrico.lopezch@uanl.mx</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Juan Antonio Vidales Contreras</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Agronomía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3" w:history="1">
              <w:r w:rsidRPr="001A4E0E">
                <w:rPr>
                  <w:rFonts w:ascii="Calibri" w:hAnsi="Calibri" w:cs="Calibri"/>
                  <w:color w:val="0000FF"/>
                  <w:sz w:val="22"/>
                  <w:szCs w:val="22"/>
                  <w:u w:val="single"/>
                </w:rPr>
                <w:t>javidalesc@hotmail.com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Juan Antonio Garcia Salas</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Biología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4" w:history="1">
              <w:r w:rsidRPr="001A4E0E">
                <w:rPr>
                  <w:rFonts w:ascii="Calibri" w:hAnsi="Calibri" w:cs="Calibri"/>
                  <w:color w:val="0000FF"/>
                  <w:sz w:val="22"/>
                  <w:szCs w:val="22"/>
                  <w:u w:val="single"/>
                </w:rPr>
                <w:t>juan_0305@hotmail.com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Armando J. Contreras Balderas</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Biología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5" w:history="1">
              <w:r w:rsidRPr="001A4E0E">
                <w:rPr>
                  <w:rFonts w:ascii="Calibri" w:hAnsi="Calibri" w:cs="Calibri"/>
                  <w:color w:val="0000FF"/>
                  <w:sz w:val="22"/>
                  <w:szCs w:val="22"/>
                  <w:u w:val="single"/>
                </w:rPr>
                <w:t>ornitologia@gmail.com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Jorge Armando Contreras Lozano</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Biología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6" w:history="1">
              <w:r w:rsidRPr="001A4E0E">
                <w:rPr>
                  <w:rFonts w:ascii="Calibri" w:hAnsi="Calibri" w:cs="Calibri"/>
                  <w:color w:val="0000FF"/>
                  <w:sz w:val="22"/>
                  <w:szCs w:val="22"/>
                  <w:u w:val="single"/>
                </w:rPr>
                <w:t>jorgeacl.84@gmail.com</w:t>
              </w:r>
            </w:hyperlink>
          </w:p>
        </w:tc>
      </w:tr>
      <w:tr w:rsidR="00A03512" w:rsidRPr="001A4E0E">
        <w:trPr>
          <w:trHeight w:val="300"/>
        </w:trPr>
        <w:tc>
          <w:tcPr>
            <w:tcW w:w="2669"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Rigoberto Vázquez Alvarado</w:t>
            </w:r>
          </w:p>
        </w:tc>
        <w:tc>
          <w:tcPr>
            <w:tcW w:w="3194" w:type="dxa"/>
            <w:tcBorders>
              <w:top w:val="nil"/>
              <w:left w:val="nil"/>
              <w:bottom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Agronomía</w:t>
            </w:r>
          </w:p>
        </w:tc>
        <w:tc>
          <w:tcPr>
            <w:tcW w:w="3618" w:type="dxa"/>
            <w:tcBorders>
              <w:top w:val="nil"/>
              <w:left w:val="nil"/>
              <w:bottom w:val="nil"/>
              <w:right w:val="nil"/>
            </w:tcBorders>
            <w:noWrap/>
            <w:vAlign w:val="bottom"/>
          </w:tcPr>
          <w:p w:rsidR="00A03512" w:rsidRPr="001A4E0E" w:rsidRDefault="00A03512" w:rsidP="001A4E0E">
            <w:pPr>
              <w:rPr>
                <w:rFonts w:ascii="Calibri" w:hAnsi="Calibri" w:cs="Calibri"/>
                <w:color w:val="0000FF"/>
                <w:u w:val="single"/>
              </w:rPr>
            </w:pPr>
            <w:hyperlink r:id="rId47" w:history="1">
              <w:r w:rsidRPr="001A4E0E">
                <w:rPr>
                  <w:rFonts w:ascii="Calibri" w:hAnsi="Calibri" w:cs="Calibri"/>
                  <w:color w:val="0000FF"/>
                  <w:sz w:val="22"/>
                  <w:szCs w:val="22"/>
                  <w:u w:val="single"/>
                </w:rPr>
                <w:t>r_vazquez_alvarado@yahoo.com.mx</w:t>
              </w:r>
            </w:hyperlink>
          </w:p>
        </w:tc>
      </w:tr>
      <w:tr w:rsidR="00A03512" w:rsidRPr="001A4E0E">
        <w:trPr>
          <w:trHeight w:val="300"/>
        </w:trPr>
        <w:tc>
          <w:tcPr>
            <w:tcW w:w="2669" w:type="dxa"/>
            <w:tcBorders>
              <w:top w:val="nil"/>
              <w:left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Humberto Ibarra Gil</w:t>
            </w:r>
          </w:p>
        </w:tc>
        <w:tc>
          <w:tcPr>
            <w:tcW w:w="3194" w:type="dxa"/>
            <w:tcBorders>
              <w:top w:val="nil"/>
              <w:left w:val="nil"/>
              <w:right w:val="nil"/>
            </w:tcBorders>
            <w:noWrap/>
            <w:vAlign w:val="bottom"/>
          </w:tcPr>
          <w:p w:rsidR="00A03512" w:rsidRPr="001A4E0E" w:rsidRDefault="00A03512" w:rsidP="001A4E0E">
            <w:pPr>
              <w:rPr>
                <w:rFonts w:ascii="Calibri" w:hAnsi="Calibri" w:cs="Calibri"/>
                <w:color w:val="000000"/>
              </w:rPr>
            </w:pPr>
            <w:r w:rsidRPr="001A4E0E">
              <w:rPr>
                <w:rFonts w:ascii="Calibri" w:hAnsi="Calibri" w:cs="Calibri"/>
                <w:color w:val="000000"/>
                <w:sz w:val="22"/>
                <w:szCs w:val="22"/>
              </w:rPr>
              <w:t>UANL-Facultad de Agronomía</w:t>
            </w:r>
          </w:p>
        </w:tc>
        <w:tc>
          <w:tcPr>
            <w:tcW w:w="3618" w:type="dxa"/>
            <w:tcBorders>
              <w:top w:val="nil"/>
              <w:left w:val="nil"/>
              <w:right w:val="nil"/>
            </w:tcBorders>
            <w:noWrap/>
            <w:vAlign w:val="bottom"/>
          </w:tcPr>
          <w:p w:rsidR="00A03512" w:rsidRPr="001A4E0E" w:rsidRDefault="00A03512" w:rsidP="001A4E0E">
            <w:pPr>
              <w:rPr>
                <w:rFonts w:ascii="Calibri" w:hAnsi="Calibri" w:cs="Calibri"/>
                <w:color w:val="0000FF"/>
                <w:u w:val="single"/>
              </w:rPr>
            </w:pPr>
            <w:hyperlink r:id="rId48" w:history="1">
              <w:r w:rsidRPr="001A4E0E">
                <w:rPr>
                  <w:rFonts w:ascii="Calibri" w:hAnsi="Calibri" w:cs="Calibri"/>
                  <w:color w:val="0000FF"/>
                  <w:sz w:val="22"/>
                  <w:szCs w:val="22"/>
                  <w:u w:val="single"/>
                </w:rPr>
                <w:t>humberto.ibarragl@uanl.edu.mx</w:t>
              </w:r>
            </w:hyperlink>
          </w:p>
        </w:tc>
      </w:tr>
      <w:tr w:rsidR="00A03512" w:rsidRPr="001A4E0E">
        <w:trPr>
          <w:trHeight w:val="300"/>
        </w:trPr>
        <w:tc>
          <w:tcPr>
            <w:tcW w:w="2669" w:type="dxa"/>
            <w:tcBorders>
              <w:top w:val="nil"/>
              <w:left w:val="nil"/>
              <w:bottom w:val="single" w:sz="4" w:space="0" w:color="auto"/>
              <w:right w:val="nil"/>
            </w:tcBorders>
            <w:noWrap/>
            <w:vAlign w:val="bottom"/>
          </w:tcPr>
          <w:p w:rsidR="00A03512" w:rsidRDefault="00A03512" w:rsidP="001A4E0E">
            <w:pPr>
              <w:rPr>
                <w:rFonts w:ascii="Calibri" w:hAnsi="Calibri" w:cs="Calibri"/>
                <w:color w:val="000000"/>
              </w:rPr>
            </w:pPr>
            <w:r w:rsidRPr="001A4E0E">
              <w:rPr>
                <w:rFonts w:ascii="Calibri" w:hAnsi="Calibri" w:cs="Calibri"/>
                <w:color w:val="000000"/>
                <w:sz w:val="22"/>
                <w:szCs w:val="22"/>
              </w:rPr>
              <w:t>Raúl Torres Zapata</w:t>
            </w:r>
          </w:p>
          <w:p w:rsidR="00A03512" w:rsidRPr="001A4E0E" w:rsidRDefault="00A03512" w:rsidP="001A4E0E">
            <w:pPr>
              <w:rPr>
                <w:rFonts w:ascii="Calibri" w:hAnsi="Calibri" w:cs="Calibri"/>
                <w:color w:val="000000"/>
              </w:rPr>
            </w:pPr>
          </w:p>
        </w:tc>
        <w:tc>
          <w:tcPr>
            <w:tcW w:w="3194" w:type="dxa"/>
            <w:tcBorders>
              <w:top w:val="nil"/>
              <w:left w:val="nil"/>
              <w:bottom w:val="single" w:sz="4" w:space="0" w:color="auto"/>
              <w:right w:val="nil"/>
            </w:tcBorders>
            <w:noWrap/>
            <w:vAlign w:val="bottom"/>
          </w:tcPr>
          <w:p w:rsidR="00A03512" w:rsidRDefault="00A03512" w:rsidP="001A4E0E">
            <w:pPr>
              <w:rPr>
                <w:rFonts w:ascii="Calibri" w:hAnsi="Calibri" w:cs="Calibri"/>
                <w:color w:val="000000"/>
              </w:rPr>
            </w:pPr>
            <w:r w:rsidRPr="001A4E0E">
              <w:rPr>
                <w:rFonts w:ascii="Calibri" w:hAnsi="Calibri" w:cs="Calibri"/>
                <w:color w:val="000000"/>
                <w:sz w:val="22"/>
                <w:szCs w:val="22"/>
              </w:rPr>
              <w:t>UANL-Facultad de Biología</w:t>
            </w:r>
          </w:p>
          <w:p w:rsidR="00A03512" w:rsidRPr="001A4E0E" w:rsidRDefault="00A03512" w:rsidP="001A4E0E">
            <w:pPr>
              <w:rPr>
                <w:rFonts w:ascii="Calibri" w:hAnsi="Calibri" w:cs="Calibri"/>
                <w:color w:val="000000"/>
              </w:rPr>
            </w:pPr>
          </w:p>
        </w:tc>
        <w:tc>
          <w:tcPr>
            <w:tcW w:w="3618" w:type="dxa"/>
            <w:tcBorders>
              <w:top w:val="nil"/>
              <w:left w:val="nil"/>
              <w:bottom w:val="single" w:sz="4" w:space="0" w:color="auto"/>
              <w:right w:val="nil"/>
            </w:tcBorders>
            <w:noWrap/>
            <w:vAlign w:val="bottom"/>
          </w:tcPr>
          <w:p w:rsidR="00A03512" w:rsidRDefault="00A03512" w:rsidP="001A4E0E">
            <w:pPr>
              <w:rPr>
                <w:rFonts w:ascii="Calibri" w:hAnsi="Calibri" w:cs="Calibri"/>
                <w:color w:val="0000FF"/>
                <w:u w:val="single"/>
              </w:rPr>
            </w:pPr>
            <w:hyperlink r:id="rId49" w:history="1">
              <w:r w:rsidRPr="001A4E0E">
                <w:rPr>
                  <w:rFonts w:ascii="Calibri" w:hAnsi="Calibri" w:cs="Calibri"/>
                  <w:color w:val="0000FF"/>
                  <w:sz w:val="22"/>
                  <w:szCs w:val="22"/>
                  <w:u w:val="single"/>
                </w:rPr>
                <w:t>rtorres@fcb.uanl.mx</w:t>
              </w:r>
            </w:hyperlink>
          </w:p>
          <w:p w:rsidR="00A03512" w:rsidRPr="001A4E0E" w:rsidRDefault="00A03512" w:rsidP="001A4E0E">
            <w:pPr>
              <w:rPr>
                <w:rFonts w:ascii="Calibri" w:hAnsi="Calibri" w:cs="Calibri"/>
                <w:color w:val="0000FF"/>
                <w:u w:val="single"/>
              </w:rPr>
            </w:pPr>
          </w:p>
        </w:tc>
      </w:tr>
    </w:tbl>
    <w:p w:rsidR="00A03512" w:rsidRDefault="00A03512" w:rsidP="00AC4A5C">
      <w:pPr>
        <w:rPr>
          <w:rFonts w:ascii="Calibri" w:hAnsi="Calibri" w:cs="Calibri"/>
        </w:rPr>
      </w:pPr>
    </w:p>
    <w:p w:rsidR="00A03512" w:rsidRDefault="00A03512">
      <w:pPr>
        <w:spacing w:after="200" w:line="276" w:lineRule="auto"/>
        <w:rPr>
          <w:rFonts w:ascii="Calibri" w:hAnsi="Calibri" w:cs="Calibri"/>
        </w:rPr>
      </w:pPr>
      <w:r>
        <w:rPr>
          <w:rFonts w:ascii="Calibri" w:hAnsi="Calibri" w:cs="Calibri"/>
        </w:rPr>
        <w:br w:type="page"/>
      </w:r>
    </w:p>
    <w:p w:rsidR="00A03512" w:rsidRDefault="00A03512" w:rsidP="00E96445">
      <w:pPr>
        <w:jc w:val="center"/>
        <w:rPr>
          <w:rFonts w:ascii="Arial" w:hAnsi="Arial" w:cs="Arial"/>
          <w:b/>
          <w:bCs/>
          <w:sz w:val="36"/>
          <w:szCs w:val="36"/>
        </w:rPr>
      </w:pPr>
      <w:r>
        <w:rPr>
          <w:noProof/>
          <w:lang w:val="en-US"/>
        </w:rPr>
        <w:pict>
          <v:shape id="_x0000_s1032" type="#_x0000_t75" alt="http://1.bp.blogspot.com/-Tzpm9McWIR4/TV1jntHTSaI/AAAAAAAAfpQ/QvGUm0_eE9s/s1600/conanp.jpg" style="position:absolute;left:0;text-align:left;margin-left:214pt;margin-top:-13.25pt;width:60.5pt;height:64.7pt;z-index:-251656704;visibility:visible;mso-position-horizontal-relative:margin;mso-position-vertical-relative:margin" wrapcoords="-267 0 -267 21349 21600 21349 21600 0 -267 0">
            <v:imagedata r:id="rId50" o:title=""/>
            <w10:wrap type="tight" anchorx="margin" anchory="margin"/>
          </v:shape>
        </w:pict>
      </w:r>
      <w:r>
        <w:rPr>
          <w:noProof/>
          <w:lang w:val="en-US"/>
        </w:rPr>
        <w:pict>
          <v:shape id="_x0000_s1033" type="#_x0000_t75" alt="http://upload.wikimedia.org/wikipedia/en/2/2d/UANL_logo.png" style="position:absolute;left:0;text-align:left;margin-left:371.2pt;margin-top:-13.25pt;width:48.7pt;height:50.2pt;z-index:-251655680;visibility:visible;mso-position-horizontal-relative:margin;mso-position-vertical-relative:margin" wrapcoords="8972 645 6646 967 997 4513 -332 9349 -332 12251 665 16119 997 17087 6646 21278 7975 21278 13625 21278 14954 21278 20935 17087 21600 12251 21268 4513 15286 967 12628 645 8972 645">
            <v:imagedata r:id="rId51" o:title=""/>
            <w10:wrap type="tight" anchorx="margin" anchory="margin"/>
          </v:shape>
        </w:pict>
      </w:r>
      <w:r>
        <w:rPr>
          <w:noProof/>
          <w:lang w:val="en-US"/>
        </w:rPr>
        <w:pict>
          <v:shape id="Picture 10" o:spid="_x0000_s1034" type="#_x0000_t75" alt="Approved ALIANZA logo NO-TAB" style="position:absolute;left:0;text-align:left;margin-left:36.95pt;margin-top:-17.85pt;width:106.8pt;height:65.35pt;z-index:-251654656;visibility:visible;mso-position-horizontal-relative:margin;mso-position-vertical-relative:margin" wrapcoords="-152 0 -152 21352 21600 21352 21600 0 -152 0">
            <v:imagedata r:id="rId52" o:title=""/>
            <w10:wrap type="tight" anchorx="margin" anchory="margin"/>
          </v:shape>
        </w:pict>
      </w:r>
    </w:p>
    <w:p w:rsidR="00A03512" w:rsidRDefault="00A03512" w:rsidP="00E96445">
      <w:pPr>
        <w:jc w:val="center"/>
        <w:rPr>
          <w:rFonts w:ascii="Arial" w:hAnsi="Arial" w:cs="Arial"/>
          <w:b/>
          <w:bCs/>
          <w:sz w:val="36"/>
          <w:szCs w:val="36"/>
        </w:rPr>
      </w:pPr>
    </w:p>
    <w:p w:rsidR="00A03512" w:rsidRDefault="00A03512" w:rsidP="00E96445">
      <w:pPr>
        <w:jc w:val="center"/>
        <w:rPr>
          <w:rFonts w:ascii="Arial" w:hAnsi="Arial" w:cs="Arial"/>
          <w:b/>
          <w:bCs/>
          <w:sz w:val="36"/>
          <w:szCs w:val="36"/>
        </w:rPr>
      </w:pPr>
    </w:p>
    <w:p w:rsidR="00A03512" w:rsidRPr="00423BB7" w:rsidRDefault="00A03512" w:rsidP="00E96445">
      <w:pPr>
        <w:jc w:val="center"/>
        <w:rPr>
          <w:rFonts w:ascii="Arial" w:hAnsi="Arial" w:cs="Arial"/>
          <w:b/>
          <w:bCs/>
          <w:sz w:val="36"/>
          <w:szCs w:val="36"/>
        </w:rPr>
      </w:pPr>
      <w:r w:rsidRPr="00423BB7">
        <w:rPr>
          <w:rFonts w:ascii="Arial" w:hAnsi="Arial" w:cs="Arial"/>
          <w:b/>
          <w:bCs/>
          <w:sz w:val="36"/>
          <w:szCs w:val="36"/>
        </w:rPr>
        <w:t>WWF-Fundación Carlos Slim-CONANP-UANL</w:t>
      </w:r>
    </w:p>
    <w:p w:rsidR="00A03512" w:rsidRPr="00423BB7" w:rsidRDefault="00A03512" w:rsidP="00E96445">
      <w:pPr>
        <w:jc w:val="center"/>
        <w:rPr>
          <w:rFonts w:ascii="Arial" w:hAnsi="Arial" w:cs="Arial"/>
          <w:b/>
          <w:bCs/>
        </w:rPr>
      </w:pPr>
    </w:p>
    <w:p w:rsidR="00A03512" w:rsidRPr="00423BB7" w:rsidRDefault="00A03512" w:rsidP="00E96445">
      <w:pPr>
        <w:jc w:val="center"/>
        <w:rPr>
          <w:rFonts w:ascii="Arial" w:hAnsi="Arial" w:cs="Arial"/>
          <w:b/>
          <w:bCs/>
          <w:i/>
          <w:iCs/>
          <w:sz w:val="28"/>
          <w:szCs w:val="28"/>
        </w:rPr>
      </w:pPr>
      <w:r w:rsidRPr="00423BB7">
        <w:rPr>
          <w:rFonts w:ascii="Arial" w:hAnsi="Arial" w:cs="Arial"/>
          <w:b/>
          <w:bCs/>
          <w:i/>
          <w:iCs/>
          <w:sz w:val="28"/>
          <w:szCs w:val="28"/>
        </w:rPr>
        <w:t xml:space="preserve">Monitoreo de Signos Vitales en </w:t>
      </w:r>
    </w:p>
    <w:p w:rsidR="00A03512" w:rsidRPr="00423BB7" w:rsidRDefault="00A03512" w:rsidP="00E96445">
      <w:pPr>
        <w:jc w:val="center"/>
        <w:rPr>
          <w:rFonts w:ascii="Arial" w:hAnsi="Arial" w:cs="Arial"/>
          <w:b/>
          <w:bCs/>
          <w:i/>
          <w:iCs/>
          <w:sz w:val="32"/>
          <w:szCs w:val="32"/>
        </w:rPr>
      </w:pPr>
      <w:r w:rsidRPr="00423BB7">
        <w:rPr>
          <w:rFonts w:ascii="Arial" w:hAnsi="Arial" w:cs="Arial"/>
          <w:b/>
          <w:bCs/>
          <w:i/>
          <w:iCs/>
          <w:sz w:val="28"/>
          <w:szCs w:val="28"/>
        </w:rPr>
        <w:t>El Corredor Biológico Cañón de Santa Elena-Maderas del Carmen</w:t>
      </w:r>
    </w:p>
    <w:p w:rsidR="00A03512" w:rsidRPr="00423BB7" w:rsidRDefault="00A03512" w:rsidP="00E96445">
      <w:pPr>
        <w:jc w:val="center"/>
        <w:rPr>
          <w:rFonts w:ascii="Arial" w:hAnsi="Arial" w:cs="Arial"/>
          <w:b/>
          <w:bCs/>
          <w:i/>
          <w:iCs/>
          <w:sz w:val="32"/>
          <w:szCs w:val="32"/>
        </w:rPr>
      </w:pPr>
    </w:p>
    <w:p w:rsidR="00A03512" w:rsidRPr="00423BB7" w:rsidRDefault="00A03512" w:rsidP="00E96445">
      <w:pPr>
        <w:jc w:val="center"/>
        <w:rPr>
          <w:rFonts w:ascii="Arial" w:hAnsi="Arial" w:cs="Arial"/>
          <w:b/>
          <w:bCs/>
          <w:i/>
          <w:iCs/>
          <w:sz w:val="32"/>
          <w:szCs w:val="32"/>
        </w:rPr>
      </w:pPr>
      <w:r w:rsidRPr="00423BB7">
        <w:rPr>
          <w:rFonts w:ascii="Arial" w:hAnsi="Arial" w:cs="Arial"/>
          <w:b/>
          <w:bCs/>
          <w:i/>
          <w:iCs/>
          <w:sz w:val="32"/>
          <w:szCs w:val="32"/>
        </w:rPr>
        <w:t>Taller de Asignación de Signos Vitales</w:t>
      </w:r>
    </w:p>
    <w:p w:rsidR="00A03512" w:rsidRPr="00423BB7" w:rsidRDefault="00A03512" w:rsidP="00E96445">
      <w:pPr>
        <w:jc w:val="center"/>
        <w:rPr>
          <w:rFonts w:ascii="Arial" w:hAnsi="Arial" w:cs="Arial"/>
          <w:b/>
          <w:bCs/>
        </w:rPr>
      </w:pPr>
    </w:p>
    <w:p w:rsidR="00A03512" w:rsidRPr="00423BB7" w:rsidRDefault="00A03512" w:rsidP="00E96445">
      <w:pPr>
        <w:jc w:val="center"/>
        <w:rPr>
          <w:rFonts w:ascii="Arial" w:hAnsi="Arial" w:cs="Arial"/>
          <w:sz w:val="28"/>
          <w:szCs w:val="28"/>
        </w:rPr>
      </w:pPr>
      <w:r w:rsidRPr="00423BB7">
        <w:rPr>
          <w:rFonts w:ascii="Arial" w:hAnsi="Arial" w:cs="Arial"/>
          <w:sz w:val="28"/>
          <w:szCs w:val="28"/>
        </w:rPr>
        <w:t>25 y 26 de Agosto de 2011</w:t>
      </w:r>
    </w:p>
    <w:p w:rsidR="00A03512" w:rsidRPr="00423BB7" w:rsidRDefault="00A03512" w:rsidP="00E96445">
      <w:pPr>
        <w:rPr>
          <w:rFonts w:ascii="Arial" w:hAnsi="Arial" w:cs="Arial"/>
          <w:b/>
          <w:bCs/>
        </w:rPr>
      </w:pPr>
    </w:p>
    <w:p w:rsidR="00A03512" w:rsidRPr="00423BB7" w:rsidRDefault="00A03512" w:rsidP="00E96445">
      <w:pPr>
        <w:rPr>
          <w:rFonts w:ascii="Arial" w:hAnsi="Arial" w:cs="Arial"/>
        </w:rPr>
      </w:pPr>
      <w:r w:rsidRPr="00423BB7">
        <w:rPr>
          <w:rFonts w:ascii="Arial" w:hAnsi="Arial" w:cs="Arial"/>
        </w:rPr>
        <w:t>Las áreas naturales protegidas son una herramienta para frenar los procesos de degradación y pérdida de la biodiversidad ocasionados por las actividades del hombre. En los últimos años se han documentado los efectos observados y potenciales del cambio climático sobre los ecosistemas por lo que se están adoptando estrategias de adaptación y mitigación ante esta amenaza. La Comisión Nacional de Áreas Naturales Protegidas (CONANP) cuenta con su propia estrategia para responder al cambio climático y en sus ejercicios de planificación ha identificado a la  metodología de monitoreo de Signos Vitales (</w:t>
      </w:r>
      <w:r w:rsidRPr="00423BB7">
        <w:rPr>
          <w:rFonts w:ascii="Arial" w:hAnsi="Arial" w:cs="Arial"/>
          <w:i/>
          <w:iCs/>
        </w:rPr>
        <w:t>Vital Signs</w:t>
      </w:r>
      <w:r w:rsidRPr="00423BB7">
        <w:rPr>
          <w:rFonts w:ascii="Arial" w:hAnsi="Arial" w:cs="Arial"/>
        </w:rPr>
        <w:t>) como una herramienta idónea no solo para implementar acciones de monitoreo de recursos naturales a largo plazo en sus áreas protegidas, sino como una gran oportunidad para al mismo tiempo obtener información valiosa que permita implementar acciones de adaptación y mitigación frente al cambio climático. El presente taller reúne a especialistas de todas las áreas del conocimiento relacionadas a los ecosistemas con el objeto de identificar los “signos vitales” más apropiados para las áreas protegidas del corredor biológico Cañón de Santa Elena-Maderas del Carmen del desierto chihuahuense.</w:t>
      </w:r>
    </w:p>
    <w:p w:rsidR="00A03512" w:rsidRPr="00423BB7" w:rsidRDefault="00A03512" w:rsidP="00E96445">
      <w:pPr>
        <w:rPr>
          <w:rFonts w:ascii="Arial" w:hAnsi="Arial" w:cs="Arial"/>
        </w:rPr>
      </w:pPr>
    </w:p>
    <w:p w:rsidR="00A03512" w:rsidRPr="00423BB7" w:rsidRDefault="00A03512" w:rsidP="00E96445">
      <w:pPr>
        <w:rPr>
          <w:rFonts w:ascii="Arial" w:hAnsi="Arial" w:cs="Arial"/>
          <w:b/>
          <w:bCs/>
        </w:rPr>
      </w:pPr>
      <w:r w:rsidRPr="00423BB7">
        <w:rPr>
          <w:rFonts w:ascii="Arial" w:hAnsi="Arial" w:cs="Arial"/>
          <w:b/>
          <w:bCs/>
        </w:rPr>
        <w:t xml:space="preserve">Lugar: </w:t>
      </w:r>
      <w:r>
        <w:rPr>
          <w:rFonts w:ascii="Arial" w:hAnsi="Arial" w:cs="Arial"/>
          <w:b/>
          <w:bCs/>
        </w:rPr>
        <w:t xml:space="preserve">Salón Topo Chico, </w:t>
      </w:r>
      <w:r w:rsidRPr="00423BB7">
        <w:rPr>
          <w:rFonts w:ascii="Arial" w:hAnsi="Arial" w:cs="Arial"/>
          <w:b/>
          <w:bCs/>
        </w:rPr>
        <w:t>Holiday Inn Monterrey Norte, Av. Universidad No. 101 Nte., Col. Anáhuac, C.P. 66450, San Nicolás de los Garza, N.L.</w:t>
      </w:r>
    </w:p>
    <w:p w:rsidR="00A03512" w:rsidRPr="00423BB7" w:rsidRDefault="00A03512" w:rsidP="00E96445">
      <w:pPr>
        <w:rPr>
          <w:rFonts w:ascii="Arial" w:hAnsi="Arial" w:cs="Arial"/>
        </w:rPr>
      </w:pPr>
    </w:p>
    <w:p w:rsidR="00A03512" w:rsidRPr="00423BB7" w:rsidRDefault="00A03512" w:rsidP="00E96445">
      <w:pPr>
        <w:rPr>
          <w:rFonts w:ascii="Arial" w:hAnsi="Arial" w:cs="Arial"/>
        </w:rPr>
      </w:pPr>
    </w:p>
    <w:p w:rsidR="00A03512" w:rsidRPr="00423BB7" w:rsidRDefault="00A03512" w:rsidP="00E96445">
      <w:pPr>
        <w:rPr>
          <w:rFonts w:ascii="Arial" w:hAnsi="Arial" w:cs="Arial"/>
          <w:sz w:val="28"/>
          <w:szCs w:val="28"/>
        </w:rPr>
      </w:pPr>
      <w:r w:rsidRPr="00423BB7">
        <w:rPr>
          <w:rFonts w:ascii="Arial" w:hAnsi="Arial" w:cs="Arial"/>
          <w:sz w:val="28"/>
          <w:szCs w:val="28"/>
        </w:rPr>
        <w:t>PROGRAMA DE ACTIVIDADES:</w:t>
      </w:r>
    </w:p>
    <w:p w:rsidR="00A03512" w:rsidRPr="00423BB7" w:rsidRDefault="00A03512" w:rsidP="00E96445">
      <w:pPr>
        <w:pBdr>
          <w:bottom w:val="single" w:sz="4" w:space="1" w:color="auto"/>
        </w:pBdr>
        <w:rPr>
          <w:rFonts w:ascii="Arial" w:hAnsi="Arial" w:cs="Arial"/>
        </w:rPr>
      </w:pPr>
    </w:p>
    <w:p w:rsidR="00A03512" w:rsidRPr="00423BB7" w:rsidRDefault="00A03512" w:rsidP="00E96445">
      <w:pPr>
        <w:rPr>
          <w:rFonts w:ascii="Arial" w:hAnsi="Arial" w:cs="Arial"/>
          <w:b/>
          <w:bCs/>
        </w:rPr>
      </w:pPr>
    </w:p>
    <w:p w:rsidR="00A03512" w:rsidRPr="00423BB7" w:rsidRDefault="00A03512" w:rsidP="00E96445">
      <w:pPr>
        <w:rPr>
          <w:rFonts w:ascii="Arial" w:hAnsi="Arial" w:cs="Arial"/>
          <w:b/>
          <w:bCs/>
        </w:rPr>
      </w:pPr>
    </w:p>
    <w:p w:rsidR="00A03512" w:rsidRPr="00423BB7" w:rsidRDefault="00A03512" w:rsidP="00E96445">
      <w:pPr>
        <w:rPr>
          <w:rFonts w:ascii="Arial" w:hAnsi="Arial" w:cs="Arial"/>
          <w:b/>
          <w:bCs/>
        </w:rPr>
      </w:pPr>
      <w:r w:rsidRPr="00423BB7">
        <w:rPr>
          <w:rFonts w:ascii="Arial" w:hAnsi="Arial" w:cs="Arial"/>
          <w:b/>
          <w:bCs/>
        </w:rPr>
        <w:t>Jueves 25 de Agosto 2011</w:t>
      </w:r>
    </w:p>
    <w:p w:rsidR="00A03512" w:rsidRPr="00423BB7" w:rsidRDefault="00A03512" w:rsidP="00E96445">
      <w:pPr>
        <w:rPr>
          <w:rFonts w:ascii="Arial" w:hAnsi="Arial" w:cs="Arial"/>
        </w:rPr>
      </w:pPr>
    </w:p>
    <w:p w:rsidR="00A03512" w:rsidRPr="00E96445" w:rsidRDefault="00A03512" w:rsidP="00E96445">
      <w:pPr>
        <w:tabs>
          <w:tab w:val="left" w:pos="360"/>
        </w:tabs>
        <w:spacing w:line="360" w:lineRule="auto"/>
        <w:rPr>
          <w:rFonts w:ascii="Arial" w:hAnsi="Arial" w:cs="Arial"/>
          <w:lang w:val="en-US"/>
        </w:rPr>
      </w:pPr>
      <w:r w:rsidRPr="00423BB7">
        <w:rPr>
          <w:rFonts w:ascii="Arial" w:hAnsi="Arial" w:cs="Arial"/>
        </w:rPr>
        <w:tab/>
        <w:t xml:space="preserve">  </w:t>
      </w:r>
      <w:r w:rsidRPr="00E96445">
        <w:rPr>
          <w:rFonts w:ascii="Arial" w:hAnsi="Arial" w:cs="Arial"/>
          <w:lang w:val="en-US"/>
        </w:rPr>
        <w:t>9:00 AM –   9:15 AM</w:t>
      </w:r>
      <w:r w:rsidRPr="00E96445">
        <w:rPr>
          <w:rFonts w:ascii="Arial" w:hAnsi="Arial" w:cs="Arial"/>
          <w:lang w:val="en-US"/>
        </w:rPr>
        <w:tab/>
        <w:t>Bienvenida</w:t>
      </w:r>
    </w:p>
    <w:p w:rsidR="00A03512" w:rsidRPr="00E96445" w:rsidRDefault="00A03512" w:rsidP="00E96445">
      <w:pPr>
        <w:tabs>
          <w:tab w:val="left" w:pos="360"/>
        </w:tabs>
        <w:spacing w:line="360" w:lineRule="auto"/>
        <w:rPr>
          <w:rFonts w:ascii="Arial" w:hAnsi="Arial" w:cs="Arial"/>
          <w:lang w:val="en-US"/>
        </w:rPr>
      </w:pPr>
      <w:r w:rsidRPr="00E96445">
        <w:rPr>
          <w:rFonts w:ascii="Arial" w:hAnsi="Arial" w:cs="Arial"/>
          <w:lang w:val="en-US"/>
        </w:rPr>
        <w:tab/>
        <w:t xml:space="preserve">  9:15 AM –   9:30 AM</w:t>
      </w:r>
      <w:r w:rsidRPr="00E96445">
        <w:rPr>
          <w:rFonts w:ascii="Arial" w:hAnsi="Arial" w:cs="Arial"/>
          <w:lang w:val="en-US"/>
        </w:rPr>
        <w:tab/>
        <w:t>Antecedentes</w:t>
      </w:r>
    </w:p>
    <w:p w:rsidR="00A03512" w:rsidRPr="00423BB7" w:rsidRDefault="00A03512" w:rsidP="00E96445">
      <w:pPr>
        <w:tabs>
          <w:tab w:val="left" w:pos="360"/>
        </w:tabs>
        <w:spacing w:line="360" w:lineRule="auto"/>
        <w:rPr>
          <w:rFonts w:ascii="Arial" w:hAnsi="Arial" w:cs="Arial"/>
        </w:rPr>
      </w:pPr>
      <w:r w:rsidRPr="00E96445">
        <w:rPr>
          <w:rFonts w:ascii="Arial" w:hAnsi="Arial" w:cs="Arial"/>
          <w:lang w:val="en-US"/>
        </w:rPr>
        <w:tab/>
        <w:t xml:space="preserve">  </w:t>
      </w:r>
      <w:r w:rsidRPr="00423BB7">
        <w:rPr>
          <w:rFonts w:ascii="Arial" w:hAnsi="Arial" w:cs="Arial"/>
        </w:rPr>
        <w:t xml:space="preserve">9:30 AM – 10:30 AM </w:t>
      </w:r>
      <w:r w:rsidRPr="00423BB7">
        <w:rPr>
          <w:rFonts w:ascii="Arial" w:hAnsi="Arial" w:cs="Arial"/>
        </w:rPr>
        <w:tab/>
        <w:t>Introducción a la metodología de Signos Vitales</w:t>
      </w:r>
    </w:p>
    <w:p w:rsidR="00A03512" w:rsidRPr="00E96445" w:rsidRDefault="00A03512" w:rsidP="00E96445">
      <w:pPr>
        <w:tabs>
          <w:tab w:val="left" w:pos="360"/>
        </w:tabs>
        <w:spacing w:line="360" w:lineRule="auto"/>
        <w:rPr>
          <w:rFonts w:ascii="Arial" w:hAnsi="Arial" w:cs="Arial"/>
          <w:lang w:val="en-US"/>
        </w:rPr>
      </w:pPr>
      <w:r w:rsidRPr="00423BB7">
        <w:rPr>
          <w:rFonts w:ascii="Arial" w:hAnsi="Arial" w:cs="Arial"/>
        </w:rPr>
        <w:tab/>
      </w:r>
      <w:r w:rsidRPr="00E96445">
        <w:rPr>
          <w:rFonts w:ascii="Arial" w:hAnsi="Arial" w:cs="Arial"/>
          <w:lang w:val="en-US"/>
        </w:rPr>
        <w:t>10:30 AM – 11:30 AM</w:t>
      </w:r>
      <w:r w:rsidRPr="00E96445">
        <w:rPr>
          <w:rFonts w:ascii="Arial" w:hAnsi="Arial" w:cs="Arial"/>
          <w:lang w:val="en-US"/>
        </w:rPr>
        <w:tab/>
        <w:t>Programa Desierto Chihuahuense-WWF</w:t>
      </w:r>
    </w:p>
    <w:p w:rsidR="00A03512" w:rsidRPr="00E96445" w:rsidRDefault="00A03512" w:rsidP="00E96445">
      <w:pPr>
        <w:tabs>
          <w:tab w:val="left" w:pos="360"/>
        </w:tabs>
        <w:spacing w:line="360" w:lineRule="auto"/>
        <w:rPr>
          <w:rFonts w:ascii="Arial" w:hAnsi="Arial" w:cs="Arial"/>
          <w:lang w:val="en-US"/>
        </w:rPr>
      </w:pPr>
      <w:r w:rsidRPr="00E96445">
        <w:rPr>
          <w:rFonts w:ascii="Arial" w:hAnsi="Arial" w:cs="Arial"/>
          <w:lang w:val="en-US"/>
        </w:rPr>
        <w:tab/>
      </w:r>
    </w:p>
    <w:p w:rsidR="00A03512" w:rsidRPr="00E96445" w:rsidRDefault="00A03512" w:rsidP="00E96445">
      <w:pPr>
        <w:tabs>
          <w:tab w:val="left" w:pos="360"/>
        </w:tabs>
        <w:spacing w:line="360" w:lineRule="auto"/>
        <w:rPr>
          <w:rFonts w:ascii="Arial" w:hAnsi="Arial" w:cs="Arial"/>
          <w:lang w:val="en-US"/>
        </w:rPr>
      </w:pPr>
    </w:p>
    <w:p w:rsidR="00A03512" w:rsidRPr="00E96445" w:rsidRDefault="00A03512" w:rsidP="00E96445">
      <w:pPr>
        <w:tabs>
          <w:tab w:val="left" w:pos="360"/>
        </w:tabs>
        <w:spacing w:line="360" w:lineRule="auto"/>
        <w:rPr>
          <w:rFonts w:ascii="Arial" w:hAnsi="Arial" w:cs="Arial"/>
          <w:lang w:val="en-US"/>
        </w:rPr>
      </w:pPr>
    </w:p>
    <w:p w:rsidR="00A03512" w:rsidRPr="00423BB7" w:rsidRDefault="00A03512" w:rsidP="00E96445">
      <w:pPr>
        <w:tabs>
          <w:tab w:val="left" w:pos="360"/>
        </w:tabs>
        <w:spacing w:line="360" w:lineRule="auto"/>
        <w:rPr>
          <w:rFonts w:ascii="Arial" w:hAnsi="Arial" w:cs="Arial"/>
        </w:rPr>
      </w:pPr>
      <w:r w:rsidRPr="00E96445">
        <w:rPr>
          <w:rFonts w:ascii="Arial" w:hAnsi="Arial" w:cs="Arial"/>
          <w:lang w:val="en-US"/>
        </w:rPr>
        <w:tab/>
      </w:r>
      <w:r w:rsidRPr="00423BB7">
        <w:rPr>
          <w:rFonts w:ascii="Arial" w:hAnsi="Arial" w:cs="Arial"/>
        </w:rPr>
        <w:t>11:30 AM – 11:50 AM</w:t>
      </w:r>
      <w:r w:rsidRPr="00423BB7">
        <w:rPr>
          <w:rFonts w:ascii="Arial" w:hAnsi="Arial" w:cs="Arial"/>
        </w:rPr>
        <w:tab/>
        <w:t>Receso</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11:50 AM –   1:45 PM</w:t>
      </w:r>
      <w:r w:rsidRPr="00423BB7">
        <w:rPr>
          <w:rFonts w:ascii="Arial" w:hAnsi="Arial" w:cs="Arial"/>
        </w:rPr>
        <w:tab/>
        <w:t xml:space="preserve">El COBIO Cañón de Santa Elena-Maderas del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Carmen</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1:45 PM –   3:15 PM</w:t>
      </w:r>
      <w:r w:rsidRPr="00423BB7">
        <w:rPr>
          <w:rFonts w:ascii="Arial" w:hAnsi="Arial" w:cs="Arial"/>
        </w:rPr>
        <w:tab/>
        <w:t>Comida</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3:15 PM –   4:30 PM</w:t>
      </w:r>
      <w:r w:rsidRPr="00423BB7">
        <w:rPr>
          <w:rFonts w:ascii="Arial" w:hAnsi="Arial" w:cs="Arial"/>
        </w:rPr>
        <w:tab/>
        <w:t>La Biología del Cambio Climático</w:t>
      </w:r>
      <w:r w:rsidRPr="00423BB7">
        <w:rPr>
          <w:rFonts w:ascii="Arial" w:hAnsi="Arial" w:cs="Arial"/>
        </w:rPr>
        <w:tab/>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4:30 PM –   4:50 PM</w:t>
      </w:r>
      <w:r w:rsidRPr="00423BB7">
        <w:rPr>
          <w:rFonts w:ascii="Arial" w:hAnsi="Arial" w:cs="Arial"/>
        </w:rPr>
        <w:tab/>
        <w:t>Receso</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4:50 PM –   6:45 PM</w:t>
      </w:r>
      <w:r w:rsidRPr="00423BB7">
        <w:rPr>
          <w:rFonts w:ascii="Arial" w:hAnsi="Arial" w:cs="Arial"/>
        </w:rPr>
        <w:tab/>
        <w:t xml:space="preserve">Discusión de grupo: Identificación de Fuentes de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Estrés en el COBIO Cañón de Santa Elena-</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 xml:space="preserve">Maderas del Carmen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w:t>
      </w:r>
      <w:r>
        <w:rPr>
          <w:rFonts w:ascii="Arial" w:hAnsi="Arial" w:cs="Arial"/>
        </w:rPr>
        <w:t>7:0</w:t>
      </w:r>
      <w:r w:rsidRPr="00423BB7">
        <w:rPr>
          <w:rFonts w:ascii="Arial" w:hAnsi="Arial" w:cs="Arial"/>
        </w:rPr>
        <w:t>0 PM</w:t>
      </w:r>
      <w:r w:rsidRPr="00423BB7">
        <w:rPr>
          <w:rFonts w:ascii="Arial" w:hAnsi="Arial" w:cs="Arial"/>
        </w:rPr>
        <w:tab/>
      </w:r>
      <w:r w:rsidRPr="00423BB7">
        <w:rPr>
          <w:rFonts w:ascii="Arial" w:hAnsi="Arial" w:cs="Arial"/>
        </w:rPr>
        <w:tab/>
      </w:r>
      <w:r w:rsidRPr="00423BB7">
        <w:rPr>
          <w:rFonts w:ascii="Arial" w:hAnsi="Arial" w:cs="Arial"/>
        </w:rPr>
        <w:tab/>
        <w:t>Cena en el Campus Ciencias Agropecuarias-UANL</w:t>
      </w:r>
    </w:p>
    <w:p w:rsidR="00A03512" w:rsidRPr="00423BB7" w:rsidRDefault="00A03512" w:rsidP="00E96445">
      <w:pPr>
        <w:pBdr>
          <w:bottom w:val="single" w:sz="4" w:space="1" w:color="auto"/>
        </w:pBdr>
        <w:tabs>
          <w:tab w:val="left" w:pos="360"/>
        </w:tabs>
        <w:rPr>
          <w:rFonts w:ascii="Arial" w:hAnsi="Arial" w:cs="Arial"/>
        </w:rPr>
      </w:pPr>
    </w:p>
    <w:p w:rsidR="00A03512" w:rsidRPr="00423BB7" w:rsidRDefault="00A03512" w:rsidP="00E96445">
      <w:pPr>
        <w:pBdr>
          <w:bottom w:val="single" w:sz="4" w:space="1" w:color="auto"/>
        </w:pBdr>
        <w:tabs>
          <w:tab w:val="left" w:pos="360"/>
        </w:tabs>
        <w:rPr>
          <w:rFonts w:ascii="Arial" w:hAnsi="Arial" w:cs="Arial"/>
        </w:rPr>
      </w:pPr>
    </w:p>
    <w:p w:rsidR="00A03512" w:rsidRPr="00423BB7" w:rsidRDefault="00A03512" w:rsidP="00E96445">
      <w:pPr>
        <w:tabs>
          <w:tab w:val="left" w:pos="360"/>
        </w:tabs>
        <w:rPr>
          <w:rFonts w:ascii="Arial" w:hAnsi="Arial" w:cs="Arial"/>
        </w:rPr>
      </w:pPr>
    </w:p>
    <w:p w:rsidR="00A03512" w:rsidRPr="00423BB7" w:rsidRDefault="00A03512" w:rsidP="00E96445">
      <w:pPr>
        <w:tabs>
          <w:tab w:val="left" w:pos="360"/>
        </w:tabs>
        <w:rPr>
          <w:rFonts w:ascii="Arial" w:hAnsi="Arial" w:cs="Arial"/>
        </w:rPr>
      </w:pPr>
    </w:p>
    <w:p w:rsidR="00A03512" w:rsidRPr="00423BB7" w:rsidRDefault="00A03512" w:rsidP="00E96445">
      <w:pPr>
        <w:tabs>
          <w:tab w:val="left" w:pos="360"/>
        </w:tabs>
        <w:rPr>
          <w:rFonts w:ascii="Arial" w:hAnsi="Arial" w:cs="Arial"/>
          <w:b/>
          <w:bCs/>
        </w:rPr>
      </w:pPr>
    </w:p>
    <w:p w:rsidR="00A03512" w:rsidRPr="00423BB7" w:rsidRDefault="00A03512" w:rsidP="00E96445">
      <w:pPr>
        <w:tabs>
          <w:tab w:val="left" w:pos="360"/>
        </w:tabs>
        <w:rPr>
          <w:rFonts w:ascii="Arial" w:hAnsi="Arial" w:cs="Arial"/>
          <w:b/>
          <w:bCs/>
        </w:rPr>
      </w:pPr>
      <w:r w:rsidRPr="00423BB7">
        <w:rPr>
          <w:rFonts w:ascii="Arial" w:hAnsi="Arial" w:cs="Arial"/>
          <w:b/>
          <w:bCs/>
        </w:rPr>
        <w:t>Viernes 26 de Agosto de 2011</w:t>
      </w:r>
    </w:p>
    <w:p w:rsidR="00A03512" w:rsidRPr="00423BB7" w:rsidRDefault="00A03512" w:rsidP="00E96445">
      <w:pPr>
        <w:tabs>
          <w:tab w:val="left" w:pos="360"/>
        </w:tabs>
        <w:rPr>
          <w:rFonts w:ascii="Arial" w:hAnsi="Arial" w:cs="Arial"/>
        </w:rPr>
      </w:pPr>
    </w:p>
    <w:p w:rsidR="00A03512" w:rsidRPr="00423BB7" w:rsidRDefault="00A03512" w:rsidP="00E96445">
      <w:pPr>
        <w:tabs>
          <w:tab w:val="left" w:pos="360"/>
        </w:tabs>
        <w:rPr>
          <w:rFonts w:ascii="Arial" w:hAnsi="Arial" w:cs="Arial"/>
        </w:rPr>
      </w:pP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9:00 AM – 10:20 AM</w:t>
      </w:r>
      <w:r w:rsidRPr="00423BB7">
        <w:rPr>
          <w:rFonts w:ascii="Arial" w:hAnsi="Arial" w:cs="Arial"/>
        </w:rPr>
        <w:tab/>
        <w:t xml:space="preserve">Signos Vitales, Definiciones, Preguntas para el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Monitoreo</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10:20 AM – 10:30 AM</w:t>
      </w:r>
      <w:r w:rsidRPr="00423BB7">
        <w:rPr>
          <w:rFonts w:ascii="Arial" w:hAnsi="Arial" w:cs="Arial"/>
        </w:rPr>
        <w:tab/>
        <w:t>Receso</w:t>
      </w:r>
    </w:p>
    <w:p w:rsidR="00A03512" w:rsidRPr="00423BB7" w:rsidRDefault="00A03512" w:rsidP="00E96445">
      <w:pPr>
        <w:tabs>
          <w:tab w:val="left" w:pos="360"/>
        </w:tabs>
        <w:spacing w:line="360" w:lineRule="auto"/>
        <w:ind w:left="2835" w:hanging="2835"/>
        <w:rPr>
          <w:rFonts w:ascii="Arial" w:hAnsi="Arial" w:cs="Arial"/>
        </w:rPr>
      </w:pPr>
      <w:r w:rsidRPr="00423BB7">
        <w:rPr>
          <w:rFonts w:ascii="Arial" w:hAnsi="Arial" w:cs="Arial"/>
        </w:rPr>
        <w:tab/>
        <w:t xml:space="preserve">10:30 AM – 11:00 PM </w:t>
      </w:r>
      <w:r w:rsidRPr="00423BB7">
        <w:rPr>
          <w:rFonts w:ascii="Arial" w:hAnsi="Arial" w:cs="Arial"/>
        </w:rPr>
        <w:tab/>
        <w:t>Instrucciones para la Determinación de los Signos Vitales</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11:00 AM –   1:30 PM</w:t>
      </w:r>
      <w:r w:rsidRPr="00423BB7">
        <w:rPr>
          <w:rFonts w:ascii="Arial" w:hAnsi="Arial" w:cs="Arial"/>
        </w:rPr>
        <w:tab/>
        <w:t xml:space="preserve">Mesa de Trabajo para Llenado de Formatos de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 xml:space="preserve">Signos Vitales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2:00 PM –   3:00 PM</w:t>
      </w:r>
      <w:r w:rsidRPr="00423BB7">
        <w:rPr>
          <w:rFonts w:ascii="Arial" w:hAnsi="Arial" w:cs="Arial"/>
        </w:rPr>
        <w:tab/>
        <w:t>Comida</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3:00 PM –   4:00 PM</w:t>
      </w:r>
      <w:r w:rsidRPr="00423BB7">
        <w:rPr>
          <w:rFonts w:ascii="Arial" w:hAnsi="Arial" w:cs="Arial"/>
        </w:rPr>
        <w:tab/>
        <w:t xml:space="preserve">Presentación de Resultados de la Mesa de Trabajo y </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r>
      <w:r w:rsidRPr="00423BB7">
        <w:rPr>
          <w:rFonts w:ascii="Arial" w:hAnsi="Arial" w:cs="Arial"/>
        </w:rPr>
        <w:tab/>
        <w:t>Conclusiones</w:t>
      </w:r>
    </w:p>
    <w:p w:rsidR="00A03512" w:rsidRPr="00423BB7" w:rsidRDefault="00A03512" w:rsidP="00E96445">
      <w:pPr>
        <w:tabs>
          <w:tab w:val="left" w:pos="360"/>
        </w:tabs>
        <w:spacing w:line="360" w:lineRule="auto"/>
        <w:rPr>
          <w:rFonts w:ascii="Arial" w:hAnsi="Arial" w:cs="Arial"/>
        </w:rPr>
      </w:pPr>
      <w:r w:rsidRPr="00423BB7">
        <w:rPr>
          <w:rFonts w:ascii="Arial" w:hAnsi="Arial" w:cs="Arial"/>
        </w:rPr>
        <w:tab/>
        <w:t xml:space="preserve">  </w:t>
      </w:r>
    </w:p>
    <w:p w:rsidR="00A03512" w:rsidRPr="00423BB7" w:rsidRDefault="00A03512" w:rsidP="00E96445">
      <w:pPr>
        <w:pBdr>
          <w:bottom w:val="single" w:sz="4" w:space="1" w:color="auto"/>
        </w:pBdr>
        <w:tabs>
          <w:tab w:val="left" w:pos="360"/>
        </w:tabs>
        <w:rPr>
          <w:rFonts w:ascii="Arial" w:hAnsi="Arial" w:cs="Arial"/>
        </w:rPr>
      </w:pPr>
    </w:p>
    <w:p w:rsidR="00A03512" w:rsidRPr="00423BB7" w:rsidRDefault="00A03512" w:rsidP="00E96445">
      <w:pPr>
        <w:tabs>
          <w:tab w:val="left" w:pos="360"/>
        </w:tabs>
        <w:rPr>
          <w:rFonts w:ascii="Arial" w:hAnsi="Arial" w:cs="Arial"/>
          <w:b/>
          <w:bCs/>
        </w:rPr>
      </w:pPr>
    </w:p>
    <w:p w:rsidR="00A03512" w:rsidRPr="00423BB7" w:rsidRDefault="00A03512" w:rsidP="00E96445">
      <w:pPr>
        <w:tabs>
          <w:tab w:val="left" w:pos="360"/>
        </w:tabs>
        <w:rPr>
          <w:rFonts w:ascii="Arial" w:hAnsi="Arial" w:cs="Arial"/>
          <w:b/>
          <w:bCs/>
        </w:rPr>
      </w:pPr>
    </w:p>
    <w:p w:rsidR="00A03512" w:rsidRPr="00AC4A5C" w:rsidRDefault="00A03512" w:rsidP="00AC4A5C">
      <w:pPr>
        <w:rPr>
          <w:rFonts w:ascii="Calibri" w:hAnsi="Calibri" w:cs="Calibri"/>
        </w:rPr>
      </w:pPr>
    </w:p>
    <w:sectPr w:rsidR="00A03512" w:rsidRPr="00AC4A5C" w:rsidSect="00A57677">
      <w:footerReference w:type="default" r:id="rId53"/>
      <w:pgSz w:w="12240" w:h="15840"/>
      <w:pgMar w:top="1417" w:right="1440" w:bottom="1417" w:left="1440" w:header="720" w:footer="720" w:gutter="0"/>
      <w:pgNumType w:start="3"/>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3512" w:rsidRDefault="00A03512" w:rsidP="006E4BAB">
      <w:r>
        <w:separator/>
      </w:r>
    </w:p>
  </w:endnote>
  <w:endnote w:type="continuationSeparator" w:id="0">
    <w:p w:rsidR="00A03512" w:rsidRDefault="00A03512" w:rsidP="006E4B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512" w:rsidRDefault="00A03512">
    <w:pPr>
      <w:pStyle w:val="Footer"/>
      <w:jc w:val="right"/>
    </w:pPr>
  </w:p>
  <w:p w:rsidR="00A03512" w:rsidRDefault="00A03512" w:rsidP="00A57677">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512" w:rsidRDefault="00A03512">
    <w:pPr>
      <w:pStyle w:val="Footer"/>
      <w:jc w:val="right"/>
    </w:pPr>
    <w:fldSimple w:instr=" PAGE   \* MERGEFORMAT ">
      <w:r>
        <w:rPr>
          <w:noProof/>
        </w:rPr>
        <w:t>46</w:t>
      </w:r>
    </w:fldSimple>
  </w:p>
  <w:p w:rsidR="00A03512" w:rsidRDefault="00A03512" w:rsidP="00A57677">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3512" w:rsidRDefault="00A03512" w:rsidP="006E4BAB">
      <w:r>
        <w:separator/>
      </w:r>
    </w:p>
  </w:footnote>
  <w:footnote w:type="continuationSeparator" w:id="0">
    <w:p w:rsidR="00A03512" w:rsidRDefault="00A03512" w:rsidP="006E4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512" w:rsidRPr="00C05C01" w:rsidRDefault="00A03512" w:rsidP="006E4BAB">
    <w:pPr>
      <w:pStyle w:val="Header"/>
      <w:jc w:val="right"/>
      <w:rPr>
        <w:i/>
        <w:iCs/>
        <w:sz w:val="44"/>
        <w:szCs w:val="44"/>
      </w:rPr>
    </w:pPr>
    <w:r w:rsidRPr="00C05C01">
      <w:rPr>
        <w:i/>
        <w:iCs/>
        <w:sz w:val="44"/>
        <w:szCs w:val="44"/>
      </w:rPr>
      <w:t>BORRADOR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14A7A"/>
    <w:multiLevelType w:val="multilevel"/>
    <w:tmpl w:val="194A6CEE"/>
    <w:lvl w:ilvl="0">
      <w:start w:val="1"/>
      <w:numFmt w:val="decimal"/>
      <w:lvlText w:val="%1."/>
      <w:lvlJc w:val="left"/>
      <w:pPr>
        <w:ind w:left="720" w:hanging="360"/>
      </w:pPr>
      <w:rPr>
        <w:rFonts w:cs="Times New Roman"/>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nsid w:val="0AD25BA0"/>
    <w:multiLevelType w:val="hybridMultilevel"/>
    <w:tmpl w:val="C9A6A476"/>
    <w:lvl w:ilvl="0" w:tplc="D870F988">
      <w:start w:val="1"/>
      <w:numFmt w:val="bullet"/>
      <w:lvlText w:val="•"/>
      <w:lvlJc w:val="left"/>
      <w:pPr>
        <w:tabs>
          <w:tab w:val="num" w:pos="720"/>
        </w:tabs>
        <w:ind w:left="720" w:hanging="360"/>
      </w:pPr>
      <w:rPr>
        <w:rFonts w:ascii="Times New Roman" w:hAnsi="Times New Roman" w:hint="default"/>
      </w:rPr>
    </w:lvl>
    <w:lvl w:ilvl="1" w:tplc="8044150C">
      <w:start w:val="1"/>
      <w:numFmt w:val="bullet"/>
      <w:lvlText w:val="•"/>
      <w:lvlJc w:val="left"/>
      <w:pPr>
        <w:tabs>
          <w:tab w:val="num" w:pos="1440"/>
        </w:tabs>
        <w:ind w:left="1440" w:hanging="360"/>
      </w:pPr>
      <w:rPr>
        <w:rFonts w:ascii="Times New Roman" w:hAnsi="Times New Roman" w:hint="default"/>
      </w:rPr>
    </w:lvl>
    <w:lvl w:ilvl="2" w:tplc="C9D69FF2">
      <w:start w:val="1"/>
      <w:numFmt w:val="bullet"/>
      <w:lvlText w:val="•"/>
      <w:lvlJc w:val="left"/>
      <w:pPr>
        <w:tabs>
          <w:tab w:val="num" w:pos="2160"/>
        </w:tabs>
        <w:ind w:left="2160" w:hanging="360"/>
      </w:pPr>
      <w:rPr>
        <w:rFonts w:ascii="Times New Roman" w:hAnsi="Times New Roman" w:hint="default"/>
      </w:rPr>
    </w:lvl>
    <w:lvl w:ilvl="3" w:tplc="78CE01C2">
      <w:start w:val="1"/>
      <w:numFmt w:val="bullet"/>
      <w:lvlText w:val="•"/>
      <w:lvlJc w:val="left"/>
      <w:pPr>
        <w:tabs>
          <w:tab w:val="num" w:pos="2880"/>
        </w:tabs>
        <w:ind w:left="2880" w:hanging="360"/>
      </w:pPr>
      <w:rPr>
        <w:rFonts w:ascii="Times New Roman" w:hAnsi="Times New Roman" w:hint="default"/>
      </w:rPr>
    </w:lvl>
    <w:lvl w:ilvl="4" w:tplc="CED0AEE2">
      <w:start w:val="1"/>
      <w:numFmt w:val="bullet"/>
      <w:lvlText w:val="•"/>
      <w:lvlJc w:val="left"/>
      <w:pPr>
        <w:tabs>
          <w:tab w:val="num" w:pos="3600"/>
        </w:tabs>
        <w:ind w:left="3600" w:hanging="360"/>
      </w:pPr>
      <w:rPr>
        <w:rFonts w:ascii="Times New Roman" w:hAnsi="Times New Roman" w:hint="default"/>
      </w:rPr>
    </w:lvl>
    <w:lvl w:ilvl="5" w:tplc="83F03140">
      <w:start w:val="1"/>
      <w:numFmt w:val="bullet"/>
      <w:lvlText w:val="•"/>
      <w:lvlJc w:val="left"/>
      <w:pPr>
        <w:tabs>
          <w:tab w:val="num" w:pos="4320"/>
        </w:tabs>
        <w:ind w:left="4320" w:hanging="360"/>
      </w:pPr>
      <w:rPr>
        <w:rFonts w:ascii="Times New Roman" w:hAnsi="Times New Roman" w:hint="default"/>
      </w:rPr>
    </w:lvl>
    <w:lvl w:ilvl="6" w:tplc="B1D854D8">
      <w:start w:val="1"/>
      <w:numFmt w:val="bullet"/>
      <w:lvlText w:val="•"/>
      <w:lvlJc w:val="left"/>
      <w:pPr>
        <w:tabs>
          <w:tab w:val="num" w:pos="5040"/>
        </w:tabs>
        <w:ind w:left="5040" w:hanging="360"/>
      </w:pPr>
      <w:rPr>
        <w:rFonts w:ascii="Times New Roman" w:hAnsi="Times New Roman" w:hint="default"/>
      </w:rPr>
    </w:lvl>
    <w:lvl w:ilvl="7" w:tplc="61961698">
      <w:start w:val="1"/>
      <w:numFmt w:val="bullet"/>
      <w:lvlText w:val="•"/>
      <w:lvlJc w:val="left"/>
      <w:pPr>
        <w:tabs>
          <w:tab w:val="num" w:pos="5760"/>
        </w:tabs>
        <w:ind w:left="5760" w:hanging="360"/>
      </w:pPr>
      <w:rPr>
        <w:rFonts w:ascii="Times New Roman" w:hAnsi="Times New Roman" w:hint="default"/>
      </w:rPr>
    </w:lvl>
    <w:lvl w:ilvl="8" w:tplc="11704F9A">
      <w:start w:val="1"/>
      <w:numFmt w:val="bullet"/>
      <w:lvlText w:val="•"/>
      <w:lvlJc w:val="left"/>
      <w:pPr>
        <w:tabs>
          <w:tab w:val="num" w:pos="6480"/>
        </w:tabs>
        <w:ind w:left="6480" w:hanging="360"/>
      </w:pPr>
      <w:rPr>
        <w:rFonts w:ascii="Times New Roman" w:hAnsi="Times New Roman" w:hint="default"/>
      </w:rPr>
    </w:lvl>
  </w:abstractNum>
  <w:abstractNum w:abstractNumId="2">
    <w:nsid w:val="0B4C262B"/>
    <w:multiLevelType w:val="hybridMultilevel"/>
    <w:tmpl w:val="D9CE5136"/>
    <w:lvl w:ilvl="0" w:tplc="D33ADB38">
      <w:start w:val="1"/>
      <w:numFmt w:val="bullet"/>
      <w:lvlText w:val="•"/>
      <w:lvlJc w:val="left"/>
      <w:pPr>
        <w:tabs>
          <w:tab w:val="num" w:pos="720"/>
        </w:tabs>
        <w:ind w:left="720" w:hanging="360"/>
      </w:pPr>
      <w:rPr>
        <w:rFonts w:ascii="Times New Roman" w:hAnsi="Times New Roman" w:hint="default"/>
      </w:rPr>
    </w:lvl>
    <w:lvl w:ilvl="1" w:tplc="9752A7A0">
      <w:start w:val="1"/>
      <w:numFmt w:val="bullet"/>
      <w:lvlText w:val="•"/>
      <w:lvlJc w:val="left"/>
      <w:pPr>
        <w:tabs>
          <w:tab w:val="num" w:pos="1440"/>
        </w:tabs>
        <w:ind w:left="1440" w:hanging="360"/>
      </w:pPr>
      <w:rPr>
        <w:rFonts w:ascii="Times New Roman" w:hAnsi="Times New Roman" w:hint="default"/>
      </w:rPr>
    </w:lvl>
    <w:lvl w:ilvl="2" w:tplc="3A4278B8">
      <w:start w:val="1"/>
      <w:numFmt w:val="bullet"/>
      <w:lvlText w:val="•"/>
      <w:lvlJc w:val="left"/>
      <w:pPr>
        <w:tabs>
          <w:tab w:val="num" w:pos="2160"/>
        </w:tabs>
        <w:ind w:left="2160" w:hanging="360"/>
      </w:pPr>
      <w:rPr>
        <w:rFonts w:ascii="Times New Roman" w:hAnsi="Times New Roman" w:hint="default"/>
      </w:rPr>
    </w:lvl>
    <w:lvl w:ilvl="3" w:tplc="9AFE9B90">
      <w:start w:val="1"/>
      <w:numFmt w:val="bullet"/>
      <w:lvlText w:val="•"/>
      <w:lvlJc w:val="left"/>
      <w:pPr>
        <w:tabs>
          <w:tab w:val="num" w:pos="2880"/>
        </w:tabs>
        <w:ind w:left="2880" w:hanging="360"/>
      </w:pPr>
      <w:rPr>
        <w:rFonts w:ascii="Times New Roman" w:hAnsi="Times New Roman" w:hint="default"/>
      </w:rPr>
    </w:lvl>
    <w:lvl w:ilvl="4" w:tplc="5B7E57F6">
      <w:start w:val="1"/>
      <w:numFmt w:val="bullet"/>
      <w:lvlText w:val="•"/>
      <w:lvlJc w:val="left"/>
      <w:pPr>
        <w:tabs>
          <w:tab w:val="num" w:pos="3600"/>
        </w:tabs>
        <w:ind w:left="3600" w:hanging="360"/>
      </w:pPr>
      <w:rPr>
        <w:rFonts w:ascii="Times New Roman" w:hAnsi="Times New Roman" w:hint="default"/>
      </w:rPr>
    </w:lvl>
    <w:lvl w:ilvl="5" w:tplc="CE52A020">
      <w:start w:val="1"/>
      <w:numFmt w:val="bullet"/>
      <w:lvlText w:val="•"/>
      <w:lvlJc w:val="left"/>
      <w:pPr>
        <w:tabs>
          <w:tab w:val="num" w:pos="4320"/>
        </w:tabs>
        <w:ind w:left="4320" w:hanging="360"/>
      </w:pPr>
      <w:rPr>
        <w:rFonts w:ascii="Times New Roman" w:hAnsi="Times New Roman" w:hint="default"/>
      </w:rPr>
    </w:lvl>
    <w:lvl w:ilvl="6" w:tplc="7CA0A86E">
      <w:start w:val="1"/>
      <w:numFmt w:val="bullet"/>
      <w:lvlText w:val="•"/>
      <w:lvlJc w:val="left"/>
      <w:pPr>
        <w:tabs>
          <w:tab w:val="num" w:pos="5040"/>
        </w:tabs>
        <w:ind w:left="5040" w:hanging="360"/>
      </w:pPr>
      <w:rPr>
        <w:rFonts w:ascii="Times New Roman" w:hAnsi="Times New Roman" w:hint="default"/>
      </w:rPr>
    </w:lvl>
    <w:lvl w:ilvl="7" w:tplc="0E507D84">
      <w:start w:val="1"/>
      <w:numFmt w:val="bullet"/>
      <w:lvlText w:val="•"/>
      <w:lvlJc w:val="left"/>
      <w:pPr>
        <w:tabs>
          <w:tab w:val="num" w:pos="5760"/>
        </w:tabs>
        <w:ind w:left="5760" w:hanging="360"/>
      </w:pPr>
      <w:rPr>
        <w:rFonts w:ascii="Times New Roman" w:hAnsi="Times New Roman" w:hint="default"/>
      </w:rPr>
    </w:lvl>
    <w:lvl w:ilvl="8" w:tplc="AE2413DA">
      <w:start w:val="1"/>
      <w:numFmt w:val="bullet"/>
      <w:lvlText w:val="•"/>
      <w:lvlJc w:val="left"/>
      <w:pPr>
        <w:tabs>
          <w:tab w:val="num" w:pos="6480"/>
        </w:tabs>
        <w:ind w:left="6480" w:hanging="360"/>
      </w:pPr>
      <w:rPr>
        <w:rFonts w:ascii="Times New Roman" w:hAnsi="Times New Roman" w:hint="default"/>
      </w:rPr>
    </w:lvl>
  </w:abstractNum>
  <w:abstractNum w:abstractNumId="3">
    <w:nsid w:val="19557977"/>
    <w:multiLevelType w:val="hybridMultilevel"/>
    <w:tmpl w:val="3B8A9E36"/>
    <w:lvl w:ilvl="0" w:tplc="04E65442">
      <w:start w:val="1"/>
      <w:numFmt w:val="bullet"/>
      <w:lvlText w:val="•"/>
      <w:lvlJc w:val="left"/>
      <w:pPr>
        <w:tabs>
          <w:tab w:val="num" w:pos="720"/>
        </w:tabs>
        <w:ind w:left="720" w:hanging="360"/>
      </w:pPr>
      <w:rPr>
        <w:rFonts w:ascii="Times New Roman" w:hAnsi="Times New Roman" w:hint="default"/>
      </w:rPr>
    </w:lvl>
    <w:lvl w:ilvl="1" w:tplc="C6E608D0">
      <w:start w:val="1"/>
      <w:numFmt w:val="bullet"/>
      <w:lvlText w:val="•"/>
      <w:lvlJc w:val="left"/>
      <w:pPr>
        <w:tabs>
          <w:tab w:val="num" w:pos="1440"/>
        </w:tabs>
        <w:ind w:left="1440" w:hanging="360"/>
      </w:pPr>
      <w:rPr>
        <w:rFonts w:ascii="Times New Roman" w:hAnsi="Times New Roman" w:hint="default"/>
      </w:rPr>
    </w:lvl>
    <w:lvl w:ilvl="2" w:tplc="739832A4">
      <w:start w:val="1"/>
      <w:numFmt w:val="bullet"/>
      <w:lvlText w:val="•"/>
      <w:lvlJc w:val="left"/>
      <w:pPr>
        <w:tabs>
          <w:tab w:val="num" w:pos="2160"/>
        </w:tabs>
        <w:ind w:left="2160" w:hanging="360"/>
      </w:pPr>
      <w:rPr>
        <w:rFonts w:ascii="Times New Roman" w:hAnsi="Times New Roman" w:hint="default"/>
      </w:rPr>
    </w:lvl>
    <w:lvl w:ilvl="3" w:tplc="041E5620">
      <w:start w:val="1"/>
      <w:numFmt w:val="bullet"/>
      <w:lvlText w:val="•"/>
      <w:lvlJc w:val="left"/>
      <w:pPr>
        <w:tabs>
          <w:tab w:val="num" w:pos="2880"/>
        </w:tabs>
        <w:ind w:left="2880" w:hanging="360"/>
      </w:pPr>
      <w:rPr>
        <w:rFonts w:ascii="Times New Roman" w:hAnsi="Times New Roman" w:hint="default"/>
      </w:rPr>
    </w:lvl>
    <w:lvl w:ilvl="4" w:tplc="5ADABBDA">
      <w:start w:val="1"/>
      <w:numFmt w:val="bullet"/>
      <w:lvlText w:val="•"/>
      <w:lvlJc w:val="left"/>
      <w:pPr>
        <w:tabs>
          <w:tab w:val="num" w:pos="3600"/>
        </w:tabs>
        <w:ind w:left="3600" w:hanging="360"/>
      </w:pPr>
      <w:rPr>
        <w:rFonts w:ascii="Times New Roman" w:hAnsi="Times New Roman" w:hint="default"/>
      </w:rPr>
    </w:lvl>
    <w:lvl w:ilvl="5" w:tplc="2758A53E">
      <w:start w:val="1"/>
      <w:numFmt w:val="bullet"/>
      <w:lvlText w:val="•"/>
      <w:lvlJc w:val="left"/>
      <w:pPr>
        <w:tabs>
          <w:tab w:val="num" w:pos="4320"/>
        </w:tabs>
        <w:ind w:left="4320" w:hanging="360"/>
      </w:pPr>
      <w:rPr>
        <w:rFonts w:ascii="Times New Roman" w:hAnsi="Times New Roman" w:hint="default"/>
      </w:rPr>
    </w:lvl>
    <w:lvl w:ilvl="6" w:tplc="BDE47396">
      <w:start w:val="1"/>
      <w:numFmt w:val="bullet"/>
      <w:lvlText w:val="•"/>
      <w:lvlJc w:val="left"/>
      <w:pPr>
        <w:tabs>
          <w:tab w:val="num" w:pos="5040"/>
        </w:tabs>
        <w:ind w:left="5040" w:hanging="360"/>
      </w:pPr>
      <w:rPr>
        <w:rFonts w:ascii="Times New Roman" w:hAnsi="Times New Roman" w:hint="default"/>
      </w:rPr>
    </w:lvl>
    <w:lvl w:ilvl="7" w:tplc="ACE41A8C">
      <w:start w:val="1"/>
      <w:numFmt w:val="bullet"/>
      <w:lvlText w:val="•"/>
      <w:lvlJc w:val="left"/>
      <w:pPr>
        <w:tabs>
          <w:tab w:val="num" w:pos="5760"/>
        </w:tabs>
        <w:ind w:left="5760" w:hanging="360"/>
      </w:pPr>
      <w:rPr>
        <w:rFonts w:ascii="Times New Roman" w:hAnsi="Times New Roman" w:hint="default"/>
      </w:rPr>
    </w:lvl>
    <w:lvl w:ilvl="8" w:tplc="E50E02AC">
      <w:start w:val="1"/>
      <w:numFmt w:val="bullet"/>
      <w:lvlText w:val="•"/>
      <w:lvlJc w:val="left"/>
      <w:pPr>
        <w:tabs>
          <w:tab w:val="num" w:pos="6480"/>
        </w:tabs>
        <w:ind w:left="6480" w:hanging="360"/>
      </w:pPr>
      <w:rPr>
        <w:rFonts w:ascii="Times New Roman" w:hAnsi="Times New Roman" w:hint="default"/>
      </w:rPr>
    </w:lvl>
  </w:abstractNum>
  <w:abstractNum w:abstractNumId="4">
    <w:nsid w:val="283002DA"/>
    <w:multiLevelType w:val="hybridMultilevel"/>
    <w:tmpl w:val="12245EE6"/>
    <w:lvl w:ilvl="0" w:tplc="1056276C">
      <w:start w:val="1"/>
      <w:numFmt w:val="bullet"/>
      <w:lvlText w:val="•"/>
      <w:lvlJc w:val="left"/>
      <w:pPr>
        <w:tabs>
          <w:tab w:val="num" w:pos="720"/>
        </w:tabs>
        <w:ind w:left="720" w:hanging="360"/>
      </w:pPr>
      <w:rPr>
        <w:rFonts w:ascii="Times New Roman" w:hAnsi="Times New Roman" w:hint="default"/>
      </w:rPr>
    </w:lvl>
    <w:lvl w:ilvl="1" w:tplc="D766F5AA">
      <w:start w:val="1"/>
      <w:numFmt w:val="bullet"/>
      <w:lvlText w:val="•"/>
      <w:lvlJc w:val="left"/>
      <w:pPr>
        <w:tabs>
          <w:tab w:val="num" w:pos="1440"/>
        </w:tabs>
        <w:ind w:left="1440" w:hanging="360"/>
      </w:pPr>
      <w:rPr>
        <w:rFonts w:ascii="Times New Roman" w:hAnsi="Times New Roman" w:hint="default"/>
      </w:rPr>
    </w:lvl>
    <w:lvl w:ilvl="2" w:tplc="344EDE68">
      <w:start w:val="1"/>
      <w:numFmt w:val="bullet"/>
      <w:lvlText w:val="•"/>
      <w:lvlJc w:val="left"/>
      <w:pPr>
        <w:tabs>
          <w:tab w:val="num" w:pos="2160"/>
        </w:tabs>
        <w:ind w:left="2160" w:hanging="360"/>
      </w:pPr>
      <w:rPr>
        <w:rFonts w:ascii="Times New Roman" w:hAnsi="Times New Roman" w:hint="default"/>
      </w:rPr>
    </w:lvl>
    <w:lvl w:ilvl="3" w:tplc="FB663E04">
      <w:start w:val="1"/>
      <w:numFmt w:val="bullet"/>
      <w:lvlText w:val="•"/>
      <w:lvlJc w:val="left"/>
      <w:pPr>
        <w:tabs>
          <w:tab w:val="num" w:pos="2880"/>
        </w:tabs>
        <w:ind w:left="2880" w:hanging="360"/>
      </w:pPr>
      <w:rPr>
        <w:rFonts w:ascii="Times New Roman" w:hAnsi="Times New Roman" w:hint="default"/>
      </w:rPr>
    </w:lvl>
    <w:lvl w:ilvl="4" w:tplc="A4C6B77C">
      <w:start w:val="1"/>
      <w:numFmt w:val="bullet"/>
      <w:lvlText w:val="•"/>
      <w:lvlJc w:val="left"/>
      <w:pPr>
        <w:tabs>
          <w:tab w:val="num" w:pos="3600"/>
        </w:tabs>
        <w:ind w:left="3600" w:hanging="360"/>
      </w:pPr>
      <w:rPr>
        <w:rFonts w:ascii="Times New Roman" w:hAnsi="Times New Roman" w:hint="default"/>
      </w:rPr>
    </w:lvl>
    <w:lvl w:ilvl="5" w:tplc="BCE4074A">
      <w:start w:val="1"/>
      <w:numFmt w:val="bullet"/>
      <w:lvlText w:val="•"/>
      <w:lvlJc w:val="left"/>
      <w:pPr>
        <w:tabs>
          <w:tab w:val="num" w:pos="4320"/>
        </w:tabs>
        <w:ind w:left="4320" w:hanging="360"/>
      </w:pPr>
      <w:rPr>
        <w:rFonts w:ascii="Times New Roman" w:hAnsi="Times New Roman" w:hint="default"/>
      </w:rPr>
    </w:lvl>
    <w:lvl w:ilvl="6" w:tplc="1F206D0C">
      <w:start w:val="1"/>
      <w:numFmt w:val="bullet"/>
      <w:lvlText w:val="•"/>
      <w:lvlJc w:val="left"/>
      <w:pPr>
        <w:tabs>
          <w:tab w:val="num" w:pos="5040"/>
        </w:tabs>
        <w:ind w:left="5040" w:hanging="360"/>
      </w:pPr>
      <w:rPr>
        <w:rFonts w:ascii="Times New Roman" w:hAnsi="Times New Roman" w:hint="default"/>
      </w:rPr>
    </w:lvl>
    <w:lvl w:ilvl="7" w:tplc="FE9A0E4E">
      <w:start w:val="1"/>
      <w:numFmt w:val="bullet"/>
      <w:lvlText w:val="•"/>
      <w:lvlJc w:val="left"/>
      <w:pPr>
        <w:tabs>
          <w:tab w:val="num" w:pos="5760"/>
        </w:tabs>
        <w:ind w:left="5760" w:hanging="360"/>
      </w:pPr>
      <w:rPr>
        <w:rFonts w:ascii="Times New Roman" w:hAnsi="Times New Roman" w:hint="default"/>
      </w:rPr>
    </w:lvl>
    <w:lvl w:ilvl="8" w:tplc="0756C582">
      <w:start w:val="1"/>
      <w:numFmt w:val="bullet"/>
      <w:lvlText w:val="•"/>
      <w:lvlJc w:val="left"/>
      <w:pPr>
        <w:tabs>
          <w:tab w:val="num" w:pos="6480"/>
        </w:tabs>
        <w:ind w:left="6480" w:hanging="360"/>
      </w:pPr>
      <w:rPr>
        <w:rFonts w:ascii="Times New Roman" w:hAnsi="Times New Roman" w:hint="default"/>
      </w:rPr>
    </w:lvl>
  </w:abstractNum>
  <w:abstractNum w:abstractNumId="5">
    <w:nsid w:val="36481FDB"/>
    <w:multiLevelType w:val="hybridMultilevel"/>
    <w:tmpl w:val="7E04DFFE"/>
    <w:lvl w:ilvl="0" w:tplc="A4A4D2C4">
      <w:start w:val="1"/>
      <w:numFmt w:val="bullet"/>
      <w:lvlText w:val="•"/>
      <w:lvlJc w:val="left"/>
      <w:pPr>
        <w:tabs>
          <w:tab w:val="num" w:pos="720"/>
        </w:tabs>
        <w:ind w:left="720" w:hanging="360"/>
      </w:pPr>
      <w:rPr>
        <w:rFonts w:ascii="Times New Roman" w:hAnsi="Times New Roman" w:hint="default"/>
      </w:rPr>
    </w:lvl>
    <w:lvl w:ilvl="1" w:tplc="6798B942">
      <w:start w:val="1"/>
      <w:numFmt w:val="bullet"/>
      <w:lvlText w:val="•"/>
      <w:lvlJc w:val="left"/>
      <w:pPr>
        <w:tabs>
          <w:tab w:val="num" w:pos="1440"/>
        </w:tabs>
        <w:ind w:left="1440" w:hanging="360"/>
      </w:pPr>
      <w:rPr>
        <w:rFonts w:ascii="Times New Roman" w:hAnsi="Times New Roman" w:hint="default"/>
      </w:rPr>
    </w:lvl>
    <w:lvl w:ilvl="2" w:tplc="BCAE0EF8">
      <w:start w:val="1"/>
      <w:numFmt w:val="bullet"/>
      <w:lvlText w:val="•"/>
      <w:lvlJc w:val="left"/>
      <w:pPr>
        <w:tabs>
          <w:tab w:val="num" w:pos="2160"/>
        </w:tabs>
        <w:ind w:left="2160" w:hanging="360"/>
      </w:pPr>
      <w:rPr>
        <w:rFonts w:ascii="Times New Roman" w:hAnsi="Times New Roman" w:hint="default"/>
      </w:rPr>
    </w:lvl>
    <w:lvl w:ilvl="3" w:tplc="8A5A44D2">
      <w:start w:val="1"/>
      <w:numFmt w:val="bullet"/>
      <w:lvlText w:val="•"/>
      <w:lvlJc w:val="left"/>
      <w:pPr>
        <w:tabs>
          <w:tab w:val="num" w:pos="2880"/>
        </w:tabs>
        <w:ind w:left="2880" w:hanging="360"/>
      </w:pPr>
      <w:rPr>
        <w:rFonts w:ascii="Times New Roman" w:hAnsi="Times New Roman" w:hint="default"/>
      </w:rPr>
    </w:lvl>
    <w:lvl w:ilvl="4" w:tplc="BA9A1BD8">
      <w:start w:val="1"/>
      <w:numFmt w:val="bullet"/>
      <w:lvlText w:val="•"/>
      <w:lvlJc w:val="left"/>
      <w:pPr>
        <w:tabs>
          <w:tab w:val="num" w:pos="3600"/>
        </w:tabs>
        <w:ind w:left="3600" w:hanging="360"/>
      </w:pPr>
      <w:rPr>
        <w:rFonts w:ascii="Times New Roman" w:hAnsi="Times New Roman" w:hint="default"/>
      </w:rPr>
    </w:lvl>
    <w:lvl w:ilvl="5" w:tplc="A3FA1890">
      <w:start w:val="1"/>
      <w:numFmt w:val="bullet"/>
      <w:lvlText w:val="•"/>
      <w:lvlJc w:val="left"/>
      <w:pPr>
        <w:tabs>
          <w:tab w:val="num" w:pos="4320"/>
        </w:tabs>
        <w:ind w:left="4320" w:hanging="360"/>
      </w:pPr>
      <w:rPr>
        <w:rFonts w:ascii="Times New Roman" w:hAnsi="Times New Roman" w:hint="default"/>
      </w:rPr>
    </w:lvl>
    <w:lvl w:ilvl="6" w:tplc="CB283E0C">
      <w:start w:val="1"/>
      <w:numFmt w:val="bullet"/>
      <w:lvlText w:val="•"/>
      <w:lvlJc w:val="left"/>
      <w:pPr>
        <w:tabs>
          <w:tab w:val="num" w:pos="5040"/>
        </w:tabs>
        <w:ind w:left="5040" w:hanging="360"/>
      </w:pPr>
      <w:rPr>
        <w:rFonts w:ascii="Times New Roman" w:hAnsi="Times New Roman" w:hint="default"/>
      </w:rPr>
    </w:lvl>
    <w:lvl w:ilvl="7" w:tplc="B44C4C10">
      <w:start w:val="1"/>
      <w:numFmt w:val="bullet"/>
      <w:lvlText w:val="•"/>
      <w:lvlJc w:val="left"/>
      <w:pPr>
        <w:tabs>
          <w:tab w:val="num" w:pos="5760"/>
        </w:tabs>
        <w:ind w:left="5760" w:hanging="360"/>
      </w:pPr>
      <w:rPr>
        <w:rFonts w:ascii="Times New Roman" w:hAnsi="Times New Roman" w:hint="default"/>
      </w:rPr>
    </w:lvl>
    <w:lvl w:ilvl="8" w:tplc="57CA6DD8">
      <w:start w:val="1"/>
      <w:numFmt w:val="bullet"/>
      <w:lvlText w:val="•"/>
      <w:lvlJc w:val="left"/>
      <w:pPr>
        <w:tabs>
          <w:tab w:val="num" w:pos="6480"/>
        </w:tabs>
        <w:ind w:left="6480" w:hanging="360"/>
      </w:pPr>
      <w:rPr>
        <w:rFonts w:ascii="Times New Roman" w:hAnsi="Times New Roman" w:hint="default"/>
      </w:rPr>
    </w:lvl>
  </w:abstractNum>
  <w:abstractNum w:abstractNumId="6">
    <w:nsid w:val="39C27C32"/>
    <w:multiLevelType w:val="hybridMultilevel"/>
    <w:tmpl w:val="CF28D9B0"/>
    <w:lvl w:ilvl="0" w:tplc="E6C6BE90">
      <w:start w:val="1"/>
      <w:numFmt w:val="bullet"/>
      <w:lvlText w:val="•"/>
      <w:lvlJc w:val="left"/>
      <w:pPr>
        <w:tabs>
          <w:tab w:val="num" w:pos="720"/>
        </w:tabs>
        <w:ind w:left="720" w:hanging="360"/>
      </w:pPr>
      <w:rPr>
        <w:rFonts w:ascii="Times New Roman" w:hAnsi="Times New Roman" w:hint="default"/>
      </w:rPr>
    </w:lvl>
    <w:lvl w:ilvl="1" w:tplc="2940D1C8">
      <w:start w:val="1"/>
      <w:numFmt w:val="bullet"/>
      <w:lvlText w:val="•"/>
      <w:lvlJc w:val="left"/>
      <w:pPr>
        <w:tabs>
          <w:tab w:val="num" w:pos="1440"/>
        </w:tabs>
        <w:ind w:left="1440" w:hanging="360"/>
      </w:pPr>
      <w:rPr>
        <w:rFonts w:ascii="Times New Roman" w:hAnsi="Times New Roman" w:hint="default"/>
      </w:rPr>
    </w:lvl>
    <w:lvl w:ilvl="2" w:tplc="97807B0E">
      <w:start w:val="1"/>
      <w:numFmt w:val="bullet"/>
      <w:lvlText w:val="•"/>
      <w:lvlJc w:val="left"/>
      <w:pPr>
        <w:tabs>
          <w:tab w:val="num" w:pos="2160"/>
        </w:tabs>
        <w:ind w:left="2160" w:hanging="360"/>
      </w:pPr>
      <w:rPr>
        <w:rFonts w:ascii="Times New Roman" w:hAnsi="Times New Roman" w:hint="default"/>
      </w:rPr>
    </w:lvl>
    <w:lvl w:ilvl="3" w:tplc="49CC70B2">
      <w:start w:val="1"/>
      <w:numFmt w:val="bullet"/>
      <w:lvlText w:val="•"/>
      <w:lvlJc w:val="left"/>
      <w:pPr>
        <w:tabs>
          <w:tab w:val="num" w:pos="2880"/>
        </w:tabs>
        <w:ind w:left="2880" w:hanging="360"/>
      </w:pPr>
      <w:rPr>
        <w:rFonts w:ascii="Times New Roman" w:hAnsi="Times New Roman" w:hint="default"/>
      </w:rPr>
    </w:lvl>
    <w:lvl w:ilvl="4" w:tplc="E998071C">
      <w:start w:val="1"/>
      <w:numFmt w:val="bullet"/>
      <w:lvlText w:val="•"/>
      <w:lvlJc w:val="left"/>
      <w:pPr>
        <w:tabs>
          <w:tab w:val="num" w:pos="3600"/>
        </w:tabs>
        <w:ind w:left="3600" w:hanging="360"/>
      </w:pPr>
      <w:rPr>
        <w:rFonts w:ascii="Times New Roman" w:hAnsi="Times New Roman" w:hint="default"/>
      </w:rPr>
    </w:lvl>
    <w:lvl w:ilvl="5" w:tplc="370E8F08">
      <w:start w:val="1"/>
      <w:numFmt w:val="bullet"/>
      <w:lvlText w:val="•"/>
      <w:lvlJc w:val="left"/>
      <w:pPr>
        <w:tabs>
          <w:tab w:val="num" w:pos="4320"/>
        </w:tabs>
        <w:ind w:left="4320" w:hanging="360"/>
      </w:pPr>
      <w:rPr>
        <w:rFonts w:ascii="Times New Roman" w:hAnsi="Times New Roman" w:hint="default"/>
      </w:rPr>
    </w:lvl>
    <w:lvl w:ilvl="6" w:tplc="C1F0BB60">
      <w:start w:val="1"/>
      <w:numFmt w:val="bullet"/>
      <w:lvlText w:val="•"/>
      <w:lvlJc w:val="left"/>
      <w:pPr>
        <w:tabs>
          <w:tab w:val="num" w:pos="5040"/>
        </w:tabs>
        <w:ind w:left="5040" w:hanging="360"/>
      </w:pPr>
      <w:rPr>
        <w:rFonts w:ascii="Times New Roman" w:hAnsi="Times New Roman" w:hint="default"/>
      </w:rPr>
    </w:lvl>
    <w:lvl w:ilvl="7" w:tplc="C220C094">
      <w:start w:val="1"/>
      <w:numFmt w:val="bullet"/>
      <w:lvlText w:val="•"/>
      <w:lvlJc w:val="left"/>
      <w:pPr>
        <w:tabs>
          <w:tab w:val="num" w:pos="5760"/>
        </w:tabs>
        <w:ind w:left="5760" w:hanging="360"/>
      </w:pPr>
      <w:rPr>
        <w:rFonts w:ascii="Times New Roman" w:hAnsi="Times New Roman" w:hint="default"/>
      </w:rPr>
    </w:lvl>
    <w:lvl w:ilvl="8" w:tplc="6F1CFC5C">
      <w:start w:val="1"/>
      <w:numFmt w:val="bullet"/>
      <w:lvlText w:val="•"/>
      <w:lvlJc w:val="left"/>
      <w:pPr>
        <w:tabs>
          <w:tab w:val="num" w:pos="6480"/>
        </w:tabs>
        <w:ind w:left="6480" w:hanging="360"/>
      </w:pPr>
      <w:rPr>
        <w:rFonts w:ascii="Times New Roman" w:hAnsi="Times New Roman" w:hint="default"/>
      </w:rPr>
    </w:lvl>
  </w:abstractNum>
  <w:abstractNum w:abstractNumId="7">
    <w:nsid w:val="4201699D"/>
    <w:multiLevelType w:val="hybridMultilevel"/>
    <w:tmpl w:val="DA7A274E"/>
    <w:lvl w:ilvl="0" w:tplc="4C4C614E">
      <w:start w:val="1"/>
      <w:numFmt w:val="bullet"/>
      <w:lvlText w:val="•"/>
      <w:lvlJc w:val="left"/>
      <w:pPr>
        <w:tabs>
          <w:tab w:val="num" w:pos="720"/>
        </w:tabs>
        <w:ind w:left="720" w:hanging="360"/>
      </w:pPr>
      <w:rPr>
        <w:rFonts w:ascii="Times New Roman" w:hAnsi="Times New Roman" w:hint="default"/>
      </w:rPr>
    </w:lvl>
    <w:lvl w:ilvl="1" w:tplc="820EED54">
      <w:start w:val="1"/>
      <w:numFmt w:val="bullet"/>
      <w:lvlText w:val="•"/>
      <w:lvlJc w:val="left"/>
      <w:pPr>
        <w:tabs>
          <w:tab w:val="num" w:pos="1440"/>
        </w:tabs>
        <w:ind w:left="1440" w:hanging="360"/>
      </w:pPr>
      <w:rPr>
        <w:rFonts w:ascii="Times New Roman" w:hAnsi="Times New Roman" w:hint="default"/>
      </w:rPr>
    </w:lvl>
    <w:lvl w:ilvl="2" w:tplc="72106760">
      <w:start w:val="1"/>
      <w:numFmt w:val="bullet"/>
      <w:lvlText w:val="•"/>
      <w:lvlJc w:val="left"/>
      <w:pPr>
        <w:tabs>
          <w:tab w:val="num" w:pos="2160"/>
        </w:tabs>
        <w:ind w:left="2160" w:hanging="360"/>
      </w:pPr>
      <w:rPr>
        <w:rFonts w:ascii="Times New Roman" w:hAnsi="Times New Roman" w:hint="default"/>
      </w:rPr>
    </w:lvl>
    <w:lvl w:ilvl="3" w:tplc="4D144F1C">
      <w:start w:val="1"/>
      <w:numFmt w:val="bullet"/>
      <w:lvlText w:val="•"/>
      <w:lvlJc w:val="left"/>
      <w:pPr>
        <w:tabs>
          <w:tab w:val="num" w:pos="2880"/>
        </w:tabs>
        <w:ind w:left="2880" w:hanging="360"/>
      </w:pPr>
      <w:rPr>
        <w:rFonts w:ascii="Times New Roman" w:hAnsi="Times New Roman" w:hint="default"/>
      </w:rPr>
    </w:lvl>
    <w:lvl w:ilvl="4" w:tplc="4A4E0E22">
      <w:start w:val="1"/>
      <w:numFmt w:val="bullet"/>
      <w:lvlText w:val="•"/>
      <w:lvlJc w:val="left"/>
      <w:pPr>
        <w:tabs>
          <w:tab w:val="num" w:pos="3600"/>
        </w:tabs>
        <w:ind w:left="3600" w:hanging="360"/>
      </w:pPr>
      <w:rPr>
        <w:rFonts w:ascii="Times New Roman" w:hAnsi="Times New Roman" w:hint="default"/>
      </w:rPr>
    </w:lvl>
    <w:lvl w:ilvl="5" w:tplc="72208E54">
      <w:start w:val="1"/>
      <w:numFmt w:val="bullet"/>
      <w:lvlText w:val="•"/>
      <w:lvlJc w:val="left"/>
      <w:pPr>
        <w:tabs>
          <w:tab w:val="num" w:pos="4320"/>
        </w:tabs>
        <w:ind w:left="4320" w:hanging="360"/>
      </w:pPr>
      <w:rPr>
        <w:rFonts w:ascii="Times New Roman" w:hAnsi="Times New Roman" w:hint="default"/>
      </w:rPr>
    </w:lvl>
    <w:lvl w:ilvl="6" w:tplc="99AAB36C">
      <w:start w:val="1"/>
      <w:numFmt w:val="bullet"/>
      <w:lvlText w:val="•"/>
      <w:lvlJc w:val="left"/>
      <w:pPr>
        <w:tabs>
          <w:tab w:val="num" w:pos="5040"/>
        </w:tabs>
        <w:ind w:left="5040" w:hanging="360"/>
      </w:pPr>
      <w:rPr>
        <w:rFonts w:ascii="Times New Roman" w:hAnsi="Times New Roman" w:hint="default"/>
      </w:rPr>
    </w:lvl>
    <w:lvl w:ilvl="7" w:tplc="B06EF23E">
      <w:start w:val="1"/>
      <w:numFmt w:val="bullet"/>
      <w:lvlText w:val="•"/>
      <w:lvlJc w:val="left"/>
      <w:pPr>
        <w:tabs>
          <w:tab w:val="num" w:pos="5760"/>
        </w:tabs>
        <w:ind w:left="5760" w:hanging="360"/>
      </w:pPr>
      <w:rPr>
        <w:rFonts w:ascii="Times New Roman" w:hAnsi="Times New Roman" w:hint="default"/>
      </w:rPr>
    </w:lvl>
    <w:lvl w:ilvl="8" w:tplc="FD10F282">
      <w:start w:val="1"/>
      <w:numFmt w:val="bullet"/>
      <w:lvlText w:val="•"/>
      <w:lvlJc w:val="left"/>
      <w:pPr>
        <w:tabs>
          <w:tab w:val="num" w:pos="6480"/>
        </w:tabs>
        <w:ind w:left="6480" w:hanging="360"/>
      </w:pPr>
      <w:rPr>
        <w:rFonts w:ascii="Times New Roman" w:hAnsi="Times New Roman" w:hint="default"/>
      </w:rPr>
    </w:lvl>
  </w:abstractNum>
  <w:abstractNum w:abstractNumId="8">
    <w:nsid w:val="52764CD9"/>
    <w:multiLevelType w:val="hybridMultilevel"/>
    <w:tmpl w:val="D5C453B4"/>
    <w:lvl w:ilvl="0" w:tplc="96A24952">
      <w:start w:val="1"/>
      <w:numFmt w:val="bullet"/>
      <w:lvlText w:val="•"/>
      <w:lvlJc w:val="left"/>
      <w:pPr>
        <w:tabs>
          <w:tab w:val="num" w:pos="720"/>
        </w:tabs>
        <w:ind w:left="720" w:hanging="360"/>
      </w:pPr>
      <w:rPr>
        <w:rFonts w:ascii="Times New Roman" w:hAnsi="Times New Roman" w:hint="default"/>
      </w:rPr>
    </w:lvl>
    <w:lvl w:ilvl="1" w:tplc="25C0BC9A">
      <w:start w:val="1"/>
      <w:numFmt w:val="bullet"/>
      <w:lvlText w:val="•"/>
      <w:lvlJc w:val="left"/>
      <w:pPr>
        <w:tabs>
          <w:tab w:val="num" w:pos="1440"/>
        </w:tabs>
        <w:ind w:left="1440" w:hanging="360"/>
      </w:pPr>
      <w:rPr>
        <w:rFonts w:ascii="Times New Roman" w:hAnsi="Times New Roman" w:hint="default"/>
      </w:rPr>
    </w:lvl>
    <w:lvl w:ilvl="2" w:tplc="E5405DEE">
      <w:start w:val="1"/>
      <w:numFmt w:val="bullet"/>
      <w:lvlText w:val="•"/>
      <w:lvlJc w:val="left"/>
      <w:pPr>
        <w:tabs>
          <w:tab w:val="num" w:pos="2160"/>
        </w:tabs>
        <w:ind w:left="2160" w:hanging="360"/>
      </w:pPr>
      <w:rPr>
        <w:rFonts w:ascii="Times New Roman" w:hAnsi="Times New Roman" w:hint="default"/>
      </w:rPr>
    </w:lvl>
    <w:lvl w:ilvl="3" w:tplc="E8A2377A">
      <w:start w:val="1"/>
      <w:numFmt w:val="bullet"/>
      <w:lvlText w:val="•"/>
      <w:lvlJc w:val="left"/>
      <w:pPr>
        <w:tabs>
          <w:tab w:val="num" w:pos="2880"/>
        </w:tabs>
        <w:ind w:left="2880" w:hanging="360"/>
      </w:pPr>
      <w:rPr>
        <w:rFonts w:ascii="Times New Roman" w:hAnsi="Times New Roman" w:hint="default"/>
      </w:rPr>
    </w:lvl>
    <w:lvl w:ilvl="4" w:tplc="CBFE5348">
      <w:start w:val="1"/>
      <w:numFmt w:val="bullet"/>
      <w:lvlText w:val="•"/>
      <w:lvlJc w:val="left"/>
      <w:pPr>
        <w:tabs>
          <w:tab w:val="num" w:pos="3600"/>
        </w:tabs>
        <w:ind w:left="3600" w:hanging="360"/>
      </w:pPr>
      <w:rPr>
        <w:rFonts w:ascii="Times New Roman" w:hAnsi="Times New Roman" w:hint="default"/>
      </w:rPr>
    </w:lvl>
    <w:lvl w:ilvl="5" w:tplc="8C32D0D8">
      <w:start w:val="1"/>
      <w:numFmt w:val="bullet"/>
      <w:lvlText w:val="•"/>
      <w:lvlJc w:val="left"/>
      <w:pPr>
        <w:tabs>
          <w:tab w:val="num" w:pos="4320"/>
        </w:tabs>
        <w:ind w:left="4320" w:hanging="360"/>
      </w:pPr>
      <w:rPr>
        <w:rFonts w:ascii="Times New Roman" w:hAnsi="Times New Roman" w:hint="default"/>
      </w:rPr>
    </w:lvl>
    <w:lvl w:ilvl="6" w:tplc="9B86D222">
      <w:start w:val="1"/>
      <w:numFmt w:val="bullet"/>
      <w:lvlText w:val="•"/>
      <w:lvlJc w:val="left"/>
      <w:pPr>
        <w:tabs>
          <w:tab w:val="num" w:pos="5040"/>
        </w:tabs>
        <w:ind w:left="5040" w:hanging="360"/>
      </w:pPr>
      <w:rPr>
        <w:rFonts w:ascii="Times New Roman" w:hAnsi="Times New Roman" w:hint="default"/>
      </w:rPr>
    </w:lvl>
    <w:lvl w:ilvl="7" w:tplc="FF48088E">
      <w:start w:val="1"/>
      <w:numFmt w:val="bullet"/>
      <w:lvlText w:val="•"/>
      <w:lvlJc w:val="left"/>
      <w:pPr>
        <w:tabs>
          <w:tab w:val="num" w:pos="5760"/>
        </w:tabs>
        <w:ind w:left="5760" w:hanging="360"/>
      </w:pPr>
      <w:rPr>
        <w:rFonts w:ascii="Times New Roman" w:hAnsi="Times New Roman" w:hint="default"/>
      </w:rPr>
    </w:lvl>
    <w:lvl w:ilvl="8" w:tplc="8EA25134">
      <w:start w:val="1"/>
      <w:numFmt w:val="bullet"/>
      <w:lvlText w:val="•"/>
      <w:lvlJc w:val="left"/>
      <w:pPr>
        <w:tabs>
          <w:tab w:val="num" w:pos="6480"/>
        </w:tabs>
        <w:ind w:left="6480" w:hanging="360"/>
      </w:pPr>
      <w:rPr>
        <w:rFonts w:ascii="Times New Roman" w:hAnsi="Times New Roman" w:hint="default"/>
      </w:rPr>
    </w:lvl>
  </w:abstractNum>
  <w:abstractNum w:abstractNumId="9">
    <w:nsid w:val="590845EC"/>
    <w:multiLevelType w:val="hybridMultilevel"/>
    <w:tmpl w:val="4DE2538C"/>
    <w:lvl w:ilvl="0" w:tplc="975AE042">
      <w:start w:val="1"/>
      <w:numFmt w:val="bullet"/>
      <w:lvlText w:val="•"/>
      <w:lvlJc w:val="left"/>
      <w:pPr>
        <w:tabs>
          <w:tab w:val="num" w:pos="720"/>
        </w:tabs>
        <w:ind w:left="720" w:hanging="360"/>
      </w:pPr>
      <w:rPr>
        <w:rFonts w:ascii="Times New Roman" w:hAnsi="Times New Roman" w:hint="default"/>
      </w:rPr>
    </w:lvl>
    <w:lvl w:ilvl="1" w:tplc="E5FE01D2">
      <w:start w:val="1"/>
      <w:numFmt w:val="bullet"/>
      <w:lvlText w:val="•"/>
      <w:lvlJc w:val="left"/>
      <w:pPr>
        <w:tabs>
          <w:tab w:val="num" w:pos="1440"/>
        </w:tabs>
        <w:ind w:left="1440" w:hanging="360"/>
      </w:pPr>
      <w:rPr>
        <w:rFonts w:ascii="Times New Roman" w:hAnsi="Times New Roman" w:hint="default"/>
      </w:rPr>
    </w:lvl>
    <w:lvl w:ilvl="2" w:tplc="2DF8DD6C">
      <w:start w:val="1"/>
      <w:numFmt w:val="bullet"/>
      <w:lvlText w:val="•"/>
      <w:lvlJc w:val="left"/>
      <w:pPr>
        <w:tabs>
          <w:tab w:val="num" w:pos="2160"/>
        </w:tabs>
        <w:ind w:left="2160" w:hanging="360"/>
      </w:pPr>
      <w:rPr>
        <w:rFonts w:ascii="Times New Roman" w:hAnsi="Times New Roman" w:hint="default"/>
      </w:rPr>
    </w:lvl>
    <w:lvl w:ilvl="3" w:tplc="FE50EF8E">
      <w:start w:val="1"/>
      <w:numFmt w:val="bullet"/>
      <w:lvlText w:val="•"/>
      <w:lvlJc w:val="left"/>
      <w:pPr>
        <w:tabs>
          <w:tab w:val="num" w:pos="2880"/>
        </w:tabs>
        <w:ind w:left="2880" w:hanging="360"/>
      </w:pPr>
      <w:rPr>
        <w:rFonts w:ascii="Times New Roman" w:hAnsi="Times New Roman" w:hint="default"/>
      </w:rPr>
    </w:lvl>
    <w:lvl w:ilvl="4" w:tplc="C3A2CA6C">
      <w:start w:val="1"/>
      <w:numFmt w:val="bullet"/>
      <w:lvlText w:val="•"/>
      <w:lvlJc w:val="left"/>
      <w:pPr>
        <w:tabs>
          <w:tab w:val="num" w:pos="3600"/>
        </w:tabs>
        <w:ind w:left="3600" w:hanging="360"/>
      </w:pPr>
      <w:rPr>
        <w:rFonts w:ascii="Times New Roman" w:hAnsi="Times New Roman" w:hint="default"/>
      </w:rPr>
    </w:lvl>
    <w:lvl w:ilvl="5" w:tplc="1DF249B6">
      <w:start w:val="1"/>
      <w:numFmt w:val="bullet"/>
      <w:lvlText w:val="•"/>
      <w:lvlJc w:val="left"/>
      <w:pPr>
        <w:tabs>
          <w:tab w:val="num" w:pos="4320"/>
        </w:tabs>
        <w:ind w:left="4320" w:hanging="360"/>
      </w:pPr>
      <w:rPr>
        <w:rFonts w:ascii="Times New Roman" w:hAnsi="Times New Roman" w:hint="default"/>
      </w:rPr>
    </w:lvl>
    <w:lvl w:ilvl="6" w:tplc="289C2DBE">
      <w:start w:val="1"/>
      <w:numFmt w:val="bullet"/>
      <w:lvlText w:val="•"/>
      <w:lvlJc w:val="left"/>
      <w:pPr>
        <w:tabs>
          <w:tab w:val="num" w:pos="5040"/>
        </w:tabs>
        <w:ind w:left="5040" w:hanging="360"/>
      </w:pPr>
      <w:rPr>
        <w:rFonts w:ascii="Times New Roman" w:hAnsi="Times New Roman" w:hint="default"/>
      </w:rPr>
    </w:lvl>
    <w:lvl w:ilvl="7" w:tplc="2952939C">
      <w:start w:val="1"/>
      <w:numFmt w:val="bullet"/>
      <w:lvlText w:val="•"/>
      <w:lvlJc w:val="left"/>
      <w:pPr>
        <w:tabs>
          <w:tab w:val="num" w:pos="5760"/>
        </w:tabs>
        <w:ind w:left="5760" w:hanging="360"/>
      </w:pPr>
      <w:rPr>
        <w:rFonts w:ascii="Times New Roman" w:hAnsi="Times New Roman" w:hint="default"/>
      </w:rPr>
    </w:lvl>
    <w:lvl w:ilvl="8" w:tplc="5882D8DE">
      <w:start w:val="1"/>
      <w:numFmt w:val="bullet"/>
      <w:lvlText w:val="•"/>
      <w:lvlJc w:val="left"/>
      <w:pPr>
        <w:tabs>
          <w:tab w:val="num" w:pos="6480"/>
        </w:tabs>
        <w:ind w:left="6480" w:hanging="360"/>
      </w:pPr>
      <w:rPr>
        <w:rFonts w:ascii="Times New Roman" w:hAnsi="Times New Roman" w:hint="default"/>
      </w:rPr>
    </w:lvl>
  </w:abstractNum>
  <w:abstractNum w:abstractNumId="10">
    <w:nsid w:val="5FF043D1"/>
    <w:multiLevelType w:val="hybridMultilevel"/>
    <w:tmpl w:val="9FD41BB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61610BEF"/>
    <w:multiLevelType w:val="hybridMultilevel"/>
    <w:tmpl w:val="395E3BF2"/>
    <w:lvl w:ilvl="0" w:tplc="1A604C28">
      <w:start w:val="1"/>
      <w:numFmt w:val="bullet"/>
      <w:lvlText w:val="•"/>
      <w:lvlJc w:val="left"/>
      <w:pPr>
        <w:tabs>
          <w:tab w:val="num" w:pos="720"/>
        </w:tabs>
        <w:ind w:left="720" w:hanging="360"/>
      </w:pPr>
      <w:rPr>
        <w:rFonts w:ascii="Times New Roman" w:hAnsi="Times New Roman" w:hint="default"/>
      </w:rPr>
    </w:lvl>
    <w:lvl w:ilvl="1" w:tplc="050ACFFE">
      <w:start w:val="1408"/>
      <w:numFmt w:val="bullet"/>
      <w:lvlText w:val="–"/>
      <w:lvlJc w:val="left"/>
      <w:pPr>
        <w:tabs>
          <w:tab w:val="num" w:pos="1440"/>
        </w:tabs>
        <w:ind w:left="1440" w:hanging="360"/>
      </w:pPr>
      <w:rPr>
        <w:rFonts w:ascii="Times New Roman" w:hAnsi="Times New Roman" w:hint="default"/>
      </w:rPr>
    </w:lvl>
    <w:lvl w:ilvl="2" w:tplc="CEC61A82">
      <w:start w:val="1"/>
      <w:numFmt w:val="bullet"/>
      <w:lvlText w:val="•"/>
      <w:lvlJc w:val="left"/>
      <w:pPr>
        <w:tabs>
          <w:tab w:val="num" w:pos="2160"/>
        </w:tabs>
        <w:ind w:left="2160" w:hanging="360"/>
      </w:pPr>
      <w:rPr>
        <w:rFonts w:ascii="Times New Roman" w:hAnsi="Times New Roman" w:hint="default"/>
      </w:rPr>
    </w:lvl>
    <w:lvl w:ilvl="3" w:tplc="4A44A42A">
      <w:start w:val="1"/>
      <w:numFmt w:val="bullet"/>
      <w:lvlText w:val="•"/>
      <w:lvlJc w:val="left"/>
      <w:pPr>
        <w:tabs>
          <w:tab w:val="num" w:pos="2880"/>
        </w:tabs>
        <w:ind w:left="2880" w:hanging="360"/>
      </w:pPr>
      <w:rPr>
        <w:rFonts w:ascii="Times New Roman" w:hAnsi="Times New Roman" w:hint="default"/>
      </w:rPr>
    </w:lvl>
    <w:lvl w:ilvl="4" w:tplc="5E02D41E">
      <w:start w:val="1"/>
      <w:numFmt w:val="bullet"/>
      <w:lvlText w:val="•"/>
      <w:lvlJc w:val="left"/>
      <w:pPr>
        <w:tabs>
          <w:tab w:val="num" w:pos="3600"/>
        </w:tabs>
        <w:ind w:left="3600" w:hanging="360"/>
      </w:pPr>
      <w:rPr>
        <w:rFonts w:ascii="Times New Roman" w:hAnsi="Times New Roman" w:hint="default"/>
      </w:rPr>
    </w:lvl>
    <w:lvl w:ilvl="5" w:tplc="0E0C1EF4">
      <w:start w:val="1"/>
      <w:numFmt w:val="bullet"/>
      <w:lvlText w:val="•"/>
      <w:lvlJc w:val="left"/>
      <w:pPr>
        <w:tabs>
          <w:tab w:val="num" w:pos="4320"/>
        </w:tabs>
        <w:ind w:left="4320" w:hanging="360"/>
      </w:pPr>
      <w:rPr>
        <w:rFonts w:ascii="Times New Roman" w:hAnsi="Times New Roman" w:hint="default"/>
      </w:rPr>
    </w:lvl>
    <w:lvl w:ilvl="6" w:tplc="D58859CA">
      <w:start w:val="1"/>
      <w:numFmt w:val="bullet"/>
      <w:lvlText w:val="•"/>
      <w:lvlJc w:val="left"/>
      <w:pPr>
        <w:tabs>
          <w:tab w:val="num" w:pos="5040"/>
        </w:tabs>
        <w:ind w:left="5040" w:hanging="360"/>
      </w:pPr>
      <w:rPr>
        <w:rFonts w:ascii="Times New Roman" w:hAnsi="Times New Roman" w:hint="default"/>
      </w:rPr>
    </w:lvl>
    <w:lvl w:ilvl="7" w:tplc="1D6C0E18">
      <w:start w:val="1"/>
      <w:numFmt w:val="bullet"/>
      <w:lvlText w:val="•"/>
      <w:lvlJc w:val="left"/>
      <w:pPr>
        <w:tabs>
          <w:tab w:val="num" w:pos="5760"/>
        </w:tabs>
        <w:ind w:left="5760" w:hanging="360"/>
      </w:pPr>
      <w:rPr>
        <w:rFonts w:ascii="Times New Roman" w:hAnsi="Times New Roman" w:hint="default"/>
      </w:rPr>
    </w:lvl>
    <w:lvl w:ilvl="8" w:tplc="21EEEC4C">
      <w:start w:val="1"/>
      <w:numFmt w:val="bullet"/>
      <w:lvlText w:val="•"/>
      <w:lvlJc w:val="left"/>
      <w:pPr>
        <w:tabs>
          <w:tab w:val="num" w:pos="6480"/>
        </w:tabs>
        <w:ind w:left="6480" w:hanging="360"/>
      </w:pPr>
      <w:rPr>
        <w:rFonts w:ascii="Times New Roman" w:hAnsi="Times New Roman" w:hint="default"/>
      </w:rPr>
    </w:lvl>
  </w:abstractNum>
  <w:abstractNum w:abstractNumId="12">
    <w:nsid w:val="659B33AF"/>
    <w:multiLevelType w:val="hybridMultilevel"/>
    <w:tmpl w:val="FB0813DA"/>
    <w:lvl w:ilvl="0" w:tplc="1272F95C">
      <w:start w:val="1"/>
      <w:numFmt w:val="bullet"/>
      <w:lvlText w:val="•"/>
      <w:lvlJc w:val="left"/>
      <w:pPr>
        <w:tabs>
          <w:tab w:val="num" w:pos="720"/>
        </w:tabs>
        <w:ind w:left="720" w:hanging="360"/>
      </w:pPr>
      <w:rPr>
        <w:rFonts w:ascii="Times New Roman" w:hAnsi="Times New Roman" w:hint="default"/>
      </w:rPr>
    </w:lvl>
    <w:lvl w:ilvl="1" w:tplc="0520022C">
      <w:start w:val="1"/>
      <w:numFmt w:val="bullet"/>
      <w:lvlText w:val="•"/>
      <w:lvlJc w:val="left"/>
      <w:pPr>
        <w:tabs>
          <w:tab w:val="num" w:pos="1440"/>
        </w:tabs>
        <w:ind w:left="1440" w:hanging="360"/>
      </w:pPr>
      <w:rPr>
        <w:rFonts w:ascii="Times New Roman" w:hAnsi="Times New Roman" w:hint="default"/>
      </w:rPr>
    </w:lvl>
    <w:lvl w:ilvl="2" w:tplc="A2D2C522">
      <w:start w:val="1"/>
      <w:numFmt w:val="bullet"/>
      <w:lvlText w:val="•"/>
      <w:lvlJc w:val="left"/>
      <w:pPr>
        <w:tabs>
          <w:tab w:val="num" w:pos="2160"/>
        </w:tabs>
        <w:ind w:left="2160" w:hanging="360"/>
      </w:pPr>
      <w:rPr>
        <w:rFonts w:ascii="Times New Roman" w:hAnsi="Times New Roman" w:hint="default"/>
      </w:rPr>
    </w:lvl>
    <w:lvl w:ilvl="3" w:tplc="476C5B5C">
      <w:start w:val="1"/>
      <w:numFmt w:val="bullet"/>
      <w:lvlText w:val="•"/>
      <w:lvlJc w:val="left"/>
      <w:pPr>
        <w:tabs>
          <w:tab w:val="num" w:pos="2880"/>
        </w:tabs>
        <w:ind w:left="2880" w:hanging="360"/>
      </w:pPr>
      <w:rPr>
        <w:rFonts w:ascii="Times New Roman" w:hAnsi="Times New Roman" w:hint="default"/>
      </w:rPr>
    </w:lvl>
    <w:lvl w:ilvl="4" w:tplc="6C72BCBC">
      <w:start w:val="1"/>
      <w:numFmt w:val="bullet"/>
      <w:lvlText w:val="•"/>
      <w:lvlJc w:val="left"/>
      <w:pPr>
        <w:tabs>
          <w:tab w:val="num" w:pos="3600"/>
        </w:tabs>
        <w:ind w:left="3600" w:hanging="360"/>
      </w:pPr>
      <w:rPr>
        <w:rFonts w:ascii="Times New Roman" w:hAnsi="Times New Roman" w:hint="default"/>
      </w:rPr>
    </w:lvl>
    <w:lvl w:ilvl="5" w:tplc="17E05CC6">
      <w:start w:val="1"/>
      <w:numFmt w:val="bullet"/>
      <w:lvlText w:val="•"/>
      <w:lvlJc w:val="left"/>
      <w:pPr>
        <w:tabs>
          <w:tab w:val="num" w:pos="4320"/>
        </w:tabs>
        <w:ind w:left="4320" w:hanging="360"/>
      </w:pPr>
      <w:rPr>
        <w:rFonts w:ascii="Times New Roman" w:hAnsi="Times New Roman" w:hint="default"/>
      </w:rPr>
    </w:lvl>
    <w:lvl w:ilvl="6" w:tplc="AEF8D3F4">
      <w:start w:val="1"/>
      <w:numFmt w:val="bullet"/>
      <w:lvlText w:val="•"/>
      <w:lvlJc w:val="left"/>
      <w:pPr>
        <w:tabs>
          <w:tab w:val="num" w:pos="5040"/>
        </w:tabs>
        <w:ind w:left="5040" w:hanging="360"/>
      </w:pPr>
      <w:rPr>
        <w:rFonts w:ascii="Times New Roman" w:hAnsi="Times New Roman" w:hint="default"/>
      </w:rPr>
    </w:lvl>
    <w:lvl w:ilvl="7" w:tplc="DCDEE306">
      <w:start w:val="1"/>
      <w:numFmt w:val="bullet"/>
      <w:lvlText w:val="•"/>
      <w:lvlJc w:val="left"/>
      <w:pPr>
        <w:tabs>
          <w:tab w:val="num" w:pos="5760"/>
        </w:tabs>
        <w:ind w:left="5760" w:hanging="360"/>
      </w:pPr>
      <w:rPr>
        <w:rFonts w:ascii="Times New Roman" w:hAnsi="Times New Roman" w:hint="default"/>
      </w:rPr>
    </w:lvl>
    <w:lvl w:ilvl="8" w:tplc="FD8438D2">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5"/>
  </w:num>
  <w:num w:numId="3">
    <w:abstractNumId w:val="6"/>
  </w:num>
  <w:num w:numId="4">
    <w:abstractNumId w:val="7"/>
  </w:num>
  <w:num w:numId="5">
    <w:abstractNumId w:val="3"/>
  </w:num>
  <w:num w:numId="6">
    <w:abstractNumId w:val="8"/>
  </w:num>
  <w:num w:numId="7">
    <w:abstractNumId w:val="12"/>
  </w:num>
  <w:num w:numId="8">
    <w:abstractNumId w:val="9"/>
  </w:num>
  <w:num w:numId="9">
    <w:abstractNumId w:val="4"/>
  </w:num>
  <w:num w:numId="10">
    <w:abstractNumId w:val="1"/>
  </w:num>
  <w:num w:numId="11">
    <w:abstractNumId w:val="2"/>
  </w:num>
  <w:num w:numId="12">
    <w:abstractNumId w:val="0"/>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E4BAB"/>
    <w:rsid w:val="000039A6"/>
    <w:rsid w:val="000040B9"/>
    <w:rsid w:val="000164F6"/>
    <w:rsid w:val="00022A28"/>
    <w:rsid w:val="0003226A"/>
    <w:rsid w:val="00041CCC"/>
    <w:rsid w:val="00043617"/>
    <w:rsid w:val="00047BB7"/>
    <w:rsid w:val="00053C36"/>
    <w:rsid w:val="000546E4"/>
    <w:rsid w:val="00056D10"/>
    <w:rsid w:val="00065C08"/>
    <w:rsid w:val="00074C6D"/>
    <w:rsid w:val="00086D54"/>
    <w:rsid w:val="0009401D"/>
    <w:rsid w:val="000946E0"/>
    <w:rsid w:val="000A7F16"/>
    <w:rsid w:val="000B788A"/>
    <w:rsid w:val="000C12C4"/>
    <w:rsid w:val="000D72EC"/>
    <w:rsid w:val="000F4EDB"/>
    <w:rsid w:val="00104F79"/>
    <w:rsid w:val="00105BB7"/>
    <w:rsid w:val="0013105F"/>
    <w:rsid w:val="00134940"/>
    <w:rsid w:val="00143B49"/>
    <w:rsid w:val="001440AD"/>
    <w:rsid w:val="00154182"/>
    <w:rsid w:val="00174F47"/>
    <w:rsid w:val="0017564D"/>
    <w:rsid w:val="00176FDC"/>
    <w:rsid w:val="001823F8"/>
    <w:rsid w:val="001843AF"/>
    <w:rsid w:val="00185EE6"/>
    <w:rsid w:val="00185FA8"/>
    <w:rsid w:val="001866E2"/>
    <w:rsid w:val="00191C74"/>
    <w:rsid w:val="001A3FA4"/>
    <w:rsid w:val="001A4E0E"/>
    <w:rsid w:val="001B199C"/>
    <w:rsid w:val="001B3056"/>
    <w:rsid w:val="001C0945"/>
    <w:rsid w:val="001C1CEF"/>
    <w:rsid w:val="001C47FA"/>
    <w:rsid w:val="001D34B3"/>
    <w:rsid w:val="001E263F"/>
    <w:rsid w:val="001E662C"/>
    <w:rsid w:val="001E78C6"/>
    <w:rsid w:val="001F7325"/>
    <w:rsid w:val="002000D3"/>
    <w:rsid w:val="00200486"/>
    <w:rsid w:val="00204D12"/>
    <w:rsid w:val="002129C6"/>
    <w:rsid w:val="0021675C"/>
    <w:rsid w:val="00223646"/>
    <w:rsid w:val="00231BB3"/>
    <w:rsid w:val="002348D6"/>
    <w:rsid w:val="00240D50"/>
    <w:rsid w:val="00253155"/>
    <w:rsid w:val="00253EA6"/>
    <w:rsid w:val="002552BD"/>
    <w:rsid w:val="00256293"/>
    <w:rsid w:val="00256679"/>
    <w:rsid w:val="00260B2F"/>
    <w:rsid w:val="002615D3"/>
    <w:rsid w:val="002644A8"/>
    <w:rsid w:val="00264B68"/>
    <w:rsid w:val="00270237"/>
    <w:rsid w:val="002712E4"/>
    <w:rsid w:val="002720DB"/>
    <w:rsid w:val="002764FA"/>
    <w:rsid w:val="00276998"/>
    <w:rsid w:val="00280000"/>
    <w:rsid w:val="00281A19"/>
    <w:rsid w:val="002823DB"/>
    <w:rsid w:val="002A18B1"/>
    <w:rsid w:val="002B03D1"/>
    <w:rsid w:val="002C0E37"/>
    <w:rsid w:val="00301D42"/>
    <w:rsid w:val="00306586"/>
    <w:rsid w:val="00311487"/>
    <w:rsid w:val="0031307C"/>
    <w:rsid w:val="00313DDE"/>
    <w:rsid w:val="003265F0"/>
    <w:rsid w:val="00327655"/>
    <w:rsid w:val="00340B14"/>
    <w:rsid w:val="00340B88"/>
    <w:rsid w:val="00341030"/>
    <w:rsid w:val="00357260"/>
    <w:rsid w:val="00362E53"/>
    <w:rsid w:val="003840F0"/>
    <w:rsid w:val="003939BA"/>
    <w:rsid w:val="003A3A1E"/>
    <w:rsid w:val="003A63AF"/>
    <w:rsid w:val="003B14F3"/>
    <w:rsid w:val="003B4C14"/>
    <w:rsid w:val="003B5360"/>
    <w:rsid w:val="003B71D4"/>
    <w:rsid w:val="003E0ED6"/>
    <w:rsid w:val="003E4DAC"/>
    <w:rsid w:val="003F076A"/>
    <w:rsid w:val="00412A10"/>
    <w:rsid w:val="0041581E"/>
    <w:rsid w:val="00417E3D"/>
    <w:rsid w:val="00423BB7"/>
    <w:rsid w:val="004268D3"/>
    <w:rsid w:val="00440BFA"/>
    <w:rsid w:val="00443DB8"/>
    <w:rsid w:val="004464ED"/>
    <w:rsid w:val="004501B4"/>
    <w:rsid w:val="00453359"/>
    <w:rsid w:val="004604FA"/>
    <w:rsid w:val="00471F1E"/>
    <w:rsid w:val="0047727F"/>
    <w:rsid w:val="0048363F"/>
    <w:rsid w:val="004840B6"/>
    <w:rsid w:val="00494888"/>
    <w:rsid w:val="00495BC8"/>
    <w:rsid w:val="004960BF"/>
    <w:rsid w:val="004A2A7C"/>
    <w:rsid w:val="004A7D04"/>
    <w:rsid w:val="004B0DCF"/>
    <w:rsid w:val="004C5CEE"/>
    <w:rsid w:val="004D6B2A"/>
    <w:rsid w:val="004E26DE"/>
    <w:rsid w:val="004E4F31"/>
    <w:rsid w:val="005025BA"/>
    <w:rsid w:val="005254BC"/>
    <w:rsid w:val="00535E1F"/>
    <w:rsid w:val="00537AF9"/>
    <w:rsid w:val="005538BD"/>
    <w:rsid w:val="005720B3"/>
    <w:rsid w:val="00573313"/>
    <w:rsid w:val="0057580C"/>
    <w:rsid w:val="00590C31"/>
    <w:rsid w:val="005969B6"/>
    <w:rsid w:val="005A7204"/>
    <w:rsid w:val="005B5F5F"/>
    <w:rsid w:val="005C408F"/>
    <w:rsid w:val="005D4ED9"/>
    <w:rsid w:val="005D4FC8"/>
    <w:rsid w:val="005F0FBC"/>
    <w:rsid w:val="005F1B08"/>
    <w:rsid w:val="0060327A"/>
    <w:rsid w:val="00610299"/>
    <w:rsid w:val="006259E8"/>
    <w:rsid w:val="0063486E"/>
    <w:rsid w:val="00635ACD"/>
    <w:rsid w:val="00640294"/>
    <w:rsid w:val="006426EF"/>
    <w:rsid w:val="00655985"/>
    <w:rsid w:val="00665575"/>
    <w:rsid w:val="00675A4A"/>
    <w:rsid w:val="00682F55"/>
    <w:rsid w:val="0069293C"/>
    <w:rsid w:val="00697C8B"/>
    <w:rsid w:val="006A03B6"/>
    <w:rsid w:val="006A3295"/>
    <w:rsid w:val="006A450F"/>
    <w:rsid w:val="006B2648"/>
    <w:rsid w:val="006B38F2"/>
    <w:rsid w:val="006B5E72"/>
    <w:rsid w:val="006B6C2A"/>
    <w:rsid w:val="006C4E47"/>
    <w:rsid w:val="006D29E9"/>
    <w:rsid w:val="006E4BAB"/>
    <w:rsid w:val="006E5ABC"/>
    <w:rsid w:val="006E71BB"/>
    <w:rsid w:val="006F3C7A"/>
    <w:rsid w:val="006F4715"/>
    <w:rsid w:val="00700804"/>
    <w:rsid w:val="0071311D"/>
    <w:rsid w:val="00725C0D"/>
    <w:rsid w:val="007418F1"/>
    <w:rsid w:val="007524BC"/>
    <w:rsid w:val="007530D4"/>
    <w:rsid w:val="00755D82"/>
    <w:rsid w:val="0075690B"/>
    <w:rsid w:val="0075736D"/>
    <w:rsid w:val="00757A30"/>
    <w:rsid w:val="00774B02"/>
    <w:rsid w:val="00783EC3"/>
    <w:rsid w:val="007946B8"/>
    <w:rsid w:val="00797585"/>
    <w:rsid w:val="007A2AD3"/>
    <w:rsid w:val="007A2ADE"/>
    <w:rsid w:val="007A5951"/>
    <w:rsid w:val="007B7FDC"/>
    <w:rsid w:val="007C1388"/>
    <w:rsid w:val="007C2821"/>
    <w:rsid w:val="007C5740"/>
    <w:rsid w:val="007D1545"/>
    <w:rsid w:val="007D35B4"/>
    <w:rsid w:val="007D56F0"/>
    <w:rsid w:val="007D59D9"/>
    <w:rsid w:val="007F714B"/>
    <w:rsid w:val="00815B23"/>
    <w:rsid w:val="0081692F"/>
    <w:rsid w:val="0081753C"/>
    <w:rsid w:val="008277EC"/>
    <w:rsid w:val="00830552"/>
    <w:rsid w:val="008316B0"/>
    <w:rsid w:val="0083577D"/>
    <w:rsid w:val="008411EC"/>
    <w:rsid w:val="00861768"/>
    <w:rsid w:val="00862EAF"/>
    <w:rsid w:val="00867BF7"/>
    <w:rsid w:val="00880CB7"/>
    <w:rsid w:val="00887F1D"/>
    <w:rsid w:val="00891D8D"/>
    <w:rsid w:val="00896E1A"/>
    <w:rsid w:val="008B5FBE"/>
    <w:rsid w:val="008D1B9B"/>
    <w:rsid w:val="008D259E"/>
    <w:rsid w:val="008D6EC7"/>
    <w:rsid w:val="008D72CC"/>
    <w:rsid w:val="008D7C42"/>
    <w:rsid w:val="008E2883"/>
    <w:rsid w:val="008E54C5"/>
    <w:rsid w:val="008F4AE3"/>
    <w:rsid w:val="00914FB0"/>
    <w:rsid w:val="009241BE"/>
    <w:rsid w:val="0094059A"/>
    <w:rsid w:val="009502FF"/>
    <w:rsid w:val="0095037C"/>
    <w:rsid w:val="009655BA"/>
    <w:rsid w:val="00966DD5"/>
    <w:rsid w:val="00972523"/>
    <w:rsid w:val="00976EEE"/>
    <w:rsid w:val="00981D8A"/>
    <w:rsid w:val="00987213"/>
    <w:rsid w:val="00992AA0"/>
    <w:rsid w:val="00995E66"/>
    <w:rsid w:val="009A1F36"/>
    <w:rsid w:val="009B039A"/>
    <w:rsid w:val="009B7D77"/>
    <w:rsid w:val="009C4721"/>
    <w:rsid w:val="009C5954"/>
    <w:rsid w:val="009D775C"/>
    <w:rsid w:val="009E34F9"/>
    <w:rsid w:val="009F0EE6"/>
    <w:rsid w:val="00A02E77"/>
    <w:rsid w:val="00A03512"/>
    <w:rsid w:val="00A06098"/>
    <w:rsid w:val="00A07924"/>
    <w:rsid w:val="00A10075"/>
    <w:rsid w:val="00A331AB"/>
    <w:rsid w:val="00A33384"/>
    <w:rsid w:val="00A34034"/>
    <w:rsid w:val="00A505C2"/>
    <w:rsid w:val="00A57677"/>
    <w:rsid w:val="00A621F2"/>
    <w:rsid w:val="00A73217"/>
    <w:rsid w:val="00A7427A"/>
    <w:rsid w:val="00A758CF"/>
    <w:rsid w:val="00A7627B"/>
    <w:rsid w:val="00A84526"/>
    <w:rsid w:val="00A96E36"/>
    <w:rsid w:val="00AA0309"/>
    <w:rsid w:val="00AA1244"/>
    <w:rsid w:val="00AB688D"/>
    <w:rsid w:val="00AB6D45"/>
    <w:rsid w:val="00AC1D23"/>
    <w:rsid w:val="00AC4A5C"/>
    <w:rsid w:val="00AC5FB6"/>
    <w:rsid w:val="00AD1A26"/>
    <w:rsid w:val="00AE6254"/>
    <w:rsid w:val="00B02AD5"/>
    <w:rsid w:val="00B0473C"/>
    <w:rsid w:val="00B07587"/>
    <w:rsid w:val="00B1211E"/>
    <w:rsid w:val="00B1296E"/>
    <w:rsid w:val="00B14A77"/>
    <w:rsid w:val="00B20F32"/>
    <w:rsid w:val="00B20F9B"/>
    <w:rsid w:val="00B247EE"/>
    <w:rsid w:val="00B33252"/>
    <w:rsid w:val="00B36E13"/>
    <w:rsid w:val="00B44645"/>
    <w:rsid w:val="00B47CD5"/>
    <w:rsid w:val="00B51CAD"/>
    <w:rsid w:val="00B555F4"/>
    <w:rsid w:val="00B8562F"/>
    <w:rsid w:val="00B87AEB"/>
    <w:rsid w:val="00BA4619"/>
    <w:rsid w:val="00BA4F57"/>
    <w:rsid w:val="00BB45E3"/>
    <w:rsid w:val="00BC0DC6"/>
    <w:rsid w:val="00BC267C"/>
    <w:rsid w:val="00BC2E72"/>
    <w:rsid w:val="00BC3663"/>
    <w:rsid w:val="00BC6877"/>
    <w:rsid w:val="00BD013A"/>
    <w:rsid w:val="00BD1005"/>
    <w:rsid w:val="00BD42D5"/>
    <w:rsid w:val="00BE178C"/>
    <w:rsid w:val="00BE1C62"/>
    <w:rsid w:val="00BE7C3C"/>
    <w:rsid w:val="00BF4BDE"/>
    <w:rsid w:val="00C0268C"/>
    <w:rsid w:val="00C05C01"/>
    <w:rsid w:val="00C12B1D"/>
    <w:rsid w:val="00C2657D"/>
    <w:rsid w:val="00C31E6B"/>
    <w:rsid w:val="00C3654C"/>
    <w:rsid w:val="00C4618C"/>
    <w:rsid w:val="00C47312"/>
    <w:rsid w:val="00C47C3D"/>
    <w:rsid w:val="00C616B8"/>
    <w:rsid w:val="00C65D90"/>
    <w:rsid w:val="00C7323F"/>
    <w:rsid w:val="00C732A8"/>
    <w:rsid w:val="00C813A3"/>
    <w:rsid w:val="00C97AC1"/>
    <w:rsid w:val="00CB2DB0"/>
    <w:rsid w:val="00CC109C"/>
    <w:rsid w:val="00CC3119"/>
    <w:rsid w:val="00CC78BA"/>
    <w:rsid w:val="00CE6E73"/>
    <w:rsid w:val="00CF5BDF"/>
    <w:rsid w:val="00D049B0"/>
    <w:rsid w:val="00D121DE"/>
    <w:rsid w:val="00D133D0"/>
    <w:rsid w:val="00D21186"/>
    <w:rsid w:val="00D242C4"/>
    <w:rsid w:val="00D270BA"/>
    <w:rsid w:val="00D27EB2"/>
    <w:rsid w:val="00D348D2"/>
    <w:rsid w:val="00D43C41"/>
    <w:rsid w:val="00D52C80"/>
    <w:rsid w:val="00D5414C"/>
    <w:rsid w:val="00D66CDF"/>
    <w:rsid w:val="00D735DD"/>
    <w:rsid w:val="00D86473"/>
    <w:rsid w:val="00D9374C"/>
    <w:rsid w:val="00D95B0B"/>
    <w:rsid w:val="00D976DD"/>
    <w:rsid w:val="00DB3698"/>
    <w:rsid w:val="00DD18BD"/>
    <w:rsid w:val="00DD1D64"/>
    <w:rsid w:val="00DD734E"/>
    <w:rsid w:val="00DE0321"/>
    <w:rsid w:val="00DE5150"/>
    <w:rsid w:val="00E01FEE"/>
    <w:rsid w:val="00E026E4"/>
    <w:rsid w:val="00E075BA"/>
    <w:rsid w:val="00E13B06"/>
    <w:rsid w:val="00E2138C"/>
    <w:rsid w:val="00E2415F"/>
    <w:rsid w:val="00E24555"/>
    <w:rsid w:val="00E314F2"/>
    <w:rsid w:val="00E3252F"/>
    <w:rsid w:val="00E44032"/>
    <w:rsid w:val="00E62952"/>
    <w:rsid w:val="00E74CB9"/>
    <w:rsid w:val="00E74DF1"/>
    <w:rsid w:val="00E82B30"/>
    <w:rsid w:val="00E85CC0"/>
    <w:rsid w:val="00E92DFF"/>
    <w:rsid w:val="00E93F8A"/>
    <w:rsid w:val="00E96445"/>
    <w:rsid w:val="00EA2D87"/>
    <w:rsid w:val="00EB79F0"/>
    <w:rsid w:val="00EC4FEC"/>
    <w:rsid w:val="00EF1310"/>
    <w:rsid w:val="00EF7A7A"/>
    <w:rsid w:val="00F0069C"/>
    <w:rsid w:val="00F05D10"/>
    <w:rsid w:val="00F164F6"/>
    <w:rsid w:val="00F223F7"/>
    <w:rsid w:val="00F2379A"/>
    <w:rsid w:val="00F407FF"/>
    <w:rsid w:val="00F46E08"/>
    <w:rsid w:val="00F47C30"/>
    <w:rsid w:val="00F57FEE"/>
    <w:rsid w:val="00F602E8"/>
    <w:rsid w:val="00F77CD8"/>
    <w:rsid w:val="00FB4B90"/>
    <w:rsid w:val="00FC004C"/>
    <w:rsid w:val="00FC18A5"/>
    <w:rsid w:val="00FD0AC6"/>
    <w:rsid w:val="00FE3EDB"/>
    <w:rsid w:val="00FE4D9E"/>
    <w:rsid w:val="00FF27B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BAB"/>
    <w:rPr>
      <w:rFonts w:ascii="Times New Roman" w:eastAsia="Times New Roman" w:hAnsi="Times New Roman"/>
      <w:sz w:val="24"/>
      <w:szCs w:val="24"/>
      <w:lang w:val="es-MX"/>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6E4BAB"/>
    <w:pPr>
      <w:autoSpaceDE w:val="0"/>
      <w:autoSpaceDN w:val="0"/>
      <w:adjustRightInd w:val="0"/>
    </w:pPr>
    <w:rPr>
      <w:rFonts w:ascii="Times New Roman" w:eastAsia="Times New Roman" w:hAnsi="Times New Roman"/>
      <w:color w:val="000000"/>
      <w:sz w:val="24"/>
      <w:szCs w:val="24"/>
    </w:rPr>
  </w:style>
  <w:style w:type="paragraph" w:styleId="Header">
    <w:name w:val="header"/>
    <w:basedOn w:val="Normal"/>
    <w:link w:val="HeaderChar"/>
    <w:uiPriority w:val="99"/>
    <w:semiHidden/>
    <w:rsid w:val="006E4BAB"/>
    <w:pPr>
      <w:tabs>
        <w:tab w:val="center" w:pos="4680"/>
        <w:tab w:val="right" w:pos="9360"/>
      </w:tabs>
    </w:pPr>
  </w:style>
  <w:style w:type="character" w:customStyle="1" w:styleId="HeaderChar">
    <w:name w:val="Header Char"/>
    <w:basedOn w:val="DefaultParagraphFont"/>
    <w:link w:val="Header"/>
    <w:uiPriority w:val="99"/>
    <w:semiHidden/>
    <w:locked/>
    <w:rsid w:val="006E4BAB"/>
    <w:rPr>
      <w:rFonts w:ascii="Times New Roman" w:hAnsi="Times New Roman" w:cs="Times New Roman"/>
      <w:sz w:val="20"/>
      <w:szCs w:val="20"/>
      <w:lang w:val="es-MX"/>
    </w:rPr>
  </w:style>
  <w:style w:type="paragraph" w:styleId="Footer">
    <w:name w:val="footer"/>
    <w:basedOn w:val="Normal"/>
    <w:link w:val="FooterChar"/>
    <w:uiPriority w:val="99"/>
    <w:rsid w:val="006E4BAB"/>
    <w:pPr>
      <w:tabs>
        <w:tab w:val="center" w:pos="4680"/>
        <w:tab w:val="right" w:pos="9360"/>
      </w:tabs>
    </w:pPr>
  </w:style>
  <w:style w:type="character" w:customStyle="1" w:styleId="FooterChar">
    <w:name w:val="Footer Char"/>
    <w:basedOn w:val="DefaultParagraphFont"/>
    <w:link w:val="Footer"/>
    <w:uiPriority w:val="99"/>
    <w:locked/>
    <w:rsid w:val="006E4BAB"/>
    <w:rPr>
      <w:rFonts w:ascii="Times New Roman" w:hAnsi="Times New Roman" w:cs="Times New Roman"/>
      <w:sz w:val="20"/>
      <w:szCs w:val="20"/>
      <w:lang w:val="es-MX"/>
    </w:rPr>
  </w:style>
  <w:style w:type="paragraph" w:styleId="BalloonText">
    <w:name w:val="Balloon Text"/>
    <w:basedOn w:val="Normal"/>
    <w:link w:val="BalloonTextChar"/>
    <w:uiPriority w:val="99"/>
    <w:semiHidden/>
    <w:rsid w:val="00C97AC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97AC1"/>
    <w:rPr>
      <w:rFonts w:ascii="Tahoma" w:hAnsi="Tahoma" w:cs="Tahoma"/>
      <w:sz w:val="16"/>
      <w:szCs w:val="16"/>
      <w:lang w:val="es-MX"/>
    </w:rPr>
  </w:style>
  <w:style w:type="table" w:styleId="TableGrid">
    <w:name w:val="Table Grid"/>
    <w:basedOn w:val="TableNormal"/>
    <w:uiPriority w:val="99"/>
    <w:rsid w:val="00DD1D64"/>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rsid w:val="00725C0D"/>
    <w:rPr>
      <w:rFonts w:cs="Times New Roman"/>
      <w:color w:val="0000FF"/>
      <w:u w:val="single"/>
    </w:rPr>
  </w:style>
  <w:style w:type="paragraph" w:styleId="ListParagraph">
    <w:name w:val="List Paragraph"/>
    <w:basedOn w:val="Normal"/>
    <w:uiPriority w:val="99"/>
    <w:qFormat/>
    <w:rsid w:val="00327655"/>
    <w:pPr>
      <w:ind w:left="720"/>
    </w:pPr>
  </w:style>
</w:styles>
</file>

<file path=word/webSettings.xml><?xml version="1.0" encoding="utf-8"?>
<w:webSettings xmlns:r="http://schemas.openxmlformats.org/officeDocument/2006/relationships" xmlns:w="http://schemas.openxmlformats.org/wordprocessingml/2006/main">
  <w:divs>
    <w:div w:id="1558005693">
      <w:marLeft w:val="0"/>
      <w:marRight w:val="0"/>
      <w:marTop w:val="0"/>
      <w:marBottom w:val="0"/>
      <w:divBdr>
        <w:top w:val="none" w:sz="0" w:space="0" w:color="auto"/>
        <w:left w:val="none" w:sz="0" w:space="0" w:color="auto"/>
        <w:bottom w:val="none" w:sz="0" w:space="0" w:color="auto"/>
        <w:right w:val="none" w:sz="0" w:space="0" w:color="auto"/>
      </w:divBdr>
    </w:div>
    <w:div w:id="1558005706">
      <w:marLeft w:val="0"/>
      <w:marRight w:val="0"/>
      <w:marTop w:val="0"/>
      <w:marBottom w:val="0"/>
      <w:divBdr>
        <w:top w:val="none" w:sz="0" w:space="0" w:color="auto"/>
        <w:left w:val="none" w:sz="0" w:space="0" w:color="auto"/>
        <w:bottom w:val="none" w:sz="0" w:space="0" w:color="auto"/>
        <w:right w:val="none" w:sz="0" w:space="0" w:color="auto"/>
      </w:divBdr>
      <w:divsChild>
        <w:div w:id="1558005698">
          <w:marLeft w:val="547"/>
          <w:marRight w:val="0"/>
          <w:marTop w:val="230"/>
          <w:marBottom w:val="0"/>
          <w:divBdr>
            <w:top w:val="none" w:sz="0" w:space="0" w:color="auto"/>
            <w:left w:val="none" w:sz="0" w:space="0" w:color="auto"/>
            <w:bottom w:val="none" w:sz="0" w:space="0" w:color="auto"/>
            <w:right w:val="none" w:sz="0" w:space="0" w:color="auto"/>
          </w:divBdr>
        </w:div>
        <w:div w:id="1558005700">
          <w:marLeft w:val="547"/>
          <w:marRight w:val="0"/>
          <w:marTop w:val="230"/>
          <w:marBottom w:val="0"/>
          <w:divBdr>
            <w:top w:val="none" w:sz="0" w:space="0" w:color="auto"/>
            <w:left w:val="none" w:sz="0" w:space="0" w:color="auto"/>
            <w:bottom w:val="none" w:sz="0" w:space="0" w:color="auto"/>
            <w:right w:val="none" w:sz="0" w:space="0" w:color="auto"/>
          </w:divBdr>
        </w:div>
        <w:div w:id="1558005726">
          <w:marLeft w:val="547"/>
          <w:marRight w:val="0"/>
          <w:marTop w:val="230"/>
          <w:marBottom w:val="0"/>
          <w:divBdr>
            <w:top w:val="none" w:sz="0" w:space="0" w:color="auto"/>
            <w:left w:val="none" w:sz="0" w:space="0" w:color="auto"/>
            <w:bottom w:val="none" w:sz="0" w:space="0" w:color="auto"/>
            <w:right w:val="none" w:sz="0" w:space="0" w:color="auto"/>
          </w:divBdr>
        </w:div>
      </w:divsChild>
    </w:div>
    <w:div w:id="1558005708">
      <w:marLeft w:val="0"/>
      <w:marRight w:val="0"/>
      <w:marTop w:val="0"/>
      <w:marBottom w:val="0"/>
      <w:divBdr>
        <w:top w:val="none" w:sz="0" w:space="0" w:color="auto"/>
        <w:left w:val="none" w:sz="0" w:space="0" w:color="auto"/>
        <w:bottom w:val="none" w:sz="0" w:space="0" w:color="auto"/>
        <w:right w:val="none" w:sz="0" w:space="0" w:color="auto"/>
      </w:divBdr>
    </w:div>
    <w:div w:id="1558005717">
      <w:marLeft w:val="0"/>
      <w:marRight w:val="0"/>
      <w:marTop w:val="0"/>
      <w:marBottom w:val="0"/>
      <w:divBdr>
        <w:top w:val="none" w:sz="0" w:space="0" w:color="auto"/>
        <w:left w:val="none" w:sz="0" w:space="0" w:color="auto"/>
        <w:bottom w:val="none" w:sz="0" w:space="0" w:color="auto"/>
        <w:right w:val="none" w:sz="0" w:space="0" w:color="auto"/>
      </w:divBdr>
    </w:div>
    <w:div w:id="1558005718">
      <w:marLeft w:val="0"/>
      <w:marRight w:val="0"/>
      <w:marTop w:val="0"/>
      <w:marBottom w:val="0"/>
      <w:divBdr>
        <w:top w:val="none" w:sz="0" w:space="0" w:color="auto"/>
        <w:left w:val="none" w:sz="0" w:space="0" w:color="auto"/>
        <w:bottom w:val="none" w:sz="0" w:space="0" w:color="auto"/>
        <w:right w:val="none" w:sz="0" w:space="0" w:color="auto"/>
      </w:divBdr>
      <w:divsChild>
        <w:div w:id="1558005694">
          <w:marLeft w:val="547"/>
          <w:marRight w:val="0"/>
          <w:marTop w:val="115"/>
          <w:marBottom w:val="0"/>
          <w:divBdr>
            <w:top w:val="none" w:sz="0" w:space="0" w:color="auto"/>
            <w:left w:val="none" w:sz="0" w:space="0" w:color="auto"/>
            <w:bottom w:val="none" w:sz="0" w:space="0" w:color="auto"/>
            <w:right w:val="none" w:sz="0" w:space="0" w:color="auto"/>
          </w:divBdr>
        </w:div>
        <w:div w:id="1558005711">
          <w:marLeft w:val="547"/>
          <w:marRight w:val="0"/>
          <w:marTop w:val="115"/>
          <w:marBottom w:val="0"/>
          <w:divBdr>
            <w:top w:val="none" w:sz="0" w:space="0" w:color="auto"/>
            <w:left w:val="none" w:sz="0" w:space="0" w:color="auto"/>
            <w:bottom w:val="none" w:sz="0" w:space="0" w:color="auto"/>
            <w:right w:val="none" w:sz="0" w:space="0" w:color="auto"/>
          </w:divBdr>
        </w:div>
        <w:div w:id="1558005752">
          <w:marLeft w:val="547"/>
          <w:marRight w:val="0"/>
          <w:marTop w:val="115"/>
          <w:marBottom w:val="0"/>
          <w:divBdr>
            <w:top w:val="none" w:sz="0" w:space="0" w:color="auto"/>
            <w:left w:val="none" w:sz="0" w:space="0" w:color="auto"/>
            <w:bottom w:val="none" w:sz="0" w:space="0" w:color="auto"/>
            <w:right w:val="none" w:sz="0" w:space="0" w:color="auto"/>
          </w:divBdr>
        </w:div>
      </w:divsChild>
    </w:div>
    <w:div w:id="1558005719">
      <w:marLeft w:val="0"/>
      <w:marRight w:val="0"/>
      <w:marTop w:val="0"/>
      <w:marBottom w:val="0"/>
      <w:divBdr>
        <w:top w:val="none" w:sz="0" w:space="0" w:color="auto"/>
        <w:left w:val="none" w:sz="0" w:space="0" w:color="auto"/>
        <w:bottom w:val="none" w:sz="0" w:space="0" w:color="auto"/>
        <w:right w:val="none" w:sz="0" w:space="0" w:color="auto"/>
      </w:divBdr>
    </w:div>
    <w:div w:id="1558005720">
      <w:marLeft w:val="0"/>
      <w:marRight w:val="0"/>
      <w:marTop w:val="0"/>
      <w:marBottom w:val="0"/>
      <w:divBdr>
        <w:top w:val="none" w:sz="0" w:space="0" w:color="auto"/>
        <w:left w:val="none" w:sz="0" w:space="0" w:color="auto"/>
        <w:bottom w:val="none" w:sz="0" w:space="0" w:color="auto"/>
        <w:right w:val="none" w:sz="0" w:space="0" w:color="auto"/>
      </w:divBdr>
      <w:divsChild>
        <w:div w:id="1558005691">
          <w:marLeft w:val="547"/>
          <w:marRight w:val="0"/>
          <w:marTop w:val="403"/>
          <w:marBottom w:val="0"/>
          <w:divBdr>
            <w:top w:val="none" w:sz="0" w:space="0" w:color="auto"/>
            <w:left w:val="none" w:sz="0" w:space="0" w:color="auto"/>
            <w:bottom w:val="none" w:sz="0" w:space="0" w:color="auto"/>
            <w:right w:val="none" w:sz="0" w:space="0" w:color="auto"/>
          </w:divBdr>
        </w:div>
        <w:div w:id="1558005738">
          <w:marLeft w:val="547"/>
          <w:marRight w:val="0"/>
          <w:marTop w:val="403"/>
          <w:marBottom w:val="0"/>
          <w:divBdr>
            <w:top w:val="none" w:sz="0" w:space="0" w:color="auto"/>
            <w:left w:val="none" w:sz="0" w:space="0" w:color="auto"/>
            <w:bottom w:val="none" w:sz="0" w:space="0" w:color="auto"/>
            <w:right w:val="none" w:sz="0" w:space="0" w:color="auto"/>
          </w:divBdr>
        </w:div>
        <w:div w:id="1558005750">
          <w:marLeft w:val="547"/>
          <w:marRight w:val="0"/>
          <w:marTop w:val="403"/>
          <w:marBottom w:val="0"/>
          <w:divBdr>
            <w:top w:val="none" w:sz="0" w:space="0" w:color="auto"/>
            <w:left w:val="none" w:sz="0" w:space="0" w:color="auto"/>
            <w:bottom w:val="none" w:sz="0" w:space="0" w:color="auto"/>
            <w:right w:val="none" w:sz="0" w:space="0" w:color="auto"/>
          </w:divBdr>
        </w:div>
      </w:divsChild>
    </w:div>
    <w:div w:id="1558005730">
      <w:marLeft w:val="0"/>
      <w:marRight w:val="0"/>
      <w:marTop w:val="0"/>
      <w:marBottom w:val="0"/>
      <w:divBdr>
        <w:top w:val="none" w:sz="0" w:space="0" w:color="auto"/>
        <w:left w:val="none" w:sz="0" w:space="0" w:color="auto"/>
        <w:bottom w:val="none" w:sz="0" w:space="0" w:color="auto"/>
        <w:right w:val="none" w:sz="0" w:space="0" w:color="auto"/>
      </w:divBdr>
      <w:divsChild>
        <w:div w:id="1558005702">
          <w:marLeft w:val="547"/>
          <w:marRight w:val="0"/>
          <w:marTop w:val="134"/>
          <w:marBottom w:val="0"/>
          <w:divBdr>
            <w:top w:val="none" w:sz="0" w:space="0" w:color="auto"/>
            <w:left w:val="none" w:sz="0" w:space="0" w:color="auto"/>
            <w:bottom w:val="none" w:sz="0" w:space="0" w:color="auto"/>
            <w:right w:val="none" w:sz="0" w:space="0" w:color="auto"/>
          </w:divBdr>
        </w:div>
        <w:div w:id="1558005704">
          <w:marLeft w:val="547"/>
          <w:marRight w:val="0"/>
          <w:marTop w:val="134"/>
          <w:marBottom w:val="0"/>
          <w:divBdr>
            <w:top w:val="none" w:sz="0" w:space="0" w:color="auto"/>
            <w:left w:val="none" w:sz="0" w:space="0" w:color="auto"/>
            <w:bottom w:val="none" w:sz="0" w:space="0" w:color="auto"/>
            <w:right w:val="none" w:sz="0" w:space="0" w:color="auto"/>
          </w:divBdr>
        </w:div>
        <w:div w:id="1558005715">
          <w:marLeft w:val="547"/>
          <w:marRight w:val="0"/>
          <w:marTop w:val="134"/>
          <w:marBottom w:val="0"/>
          <w:divBdr>
            <w:top w:val="none" w:sz="0" w:space="0" w:color="auto"/>
            <w:left w:val="none" w:sz="0" w:space="0" w:color="auto"/>
            <w:bottom w:val="none" w:sz="0" w:space="0" w:color="auto"/>
            <w:right w:val="none" w:sz="0" w:space="0" w:color="auto"/>
          </w:divBdr>
        </w:div>
        <w:div w:id="1558005724">
          <w:marLeft w:val="547"/>
          <w:marRight w:val="0"/>
          <w:marTop w:val="134"/>
          <w:marBottom w:val="0"/>
          <w:divBdr>
            <w:top w:val="none" w:sz="0" w:space="0" w:color="auto"/>
            <w:left w:val="none" w:sz="0" w:space="0" w:color="auto"/>
            <w:bottom w:val="none" w:sz="0" w:space="0" w:color="auto"/>
            <w:right w:val="none" w:sz="0" w:space="0" w:color="auto"/>
          </w:divBdr>
        </w:div>
        <w:div w:id="1558005728">
          <w:marLeft w:val="547"/>
          <w:marRight w:val="0"/>
          <w:marTop w:val="134"/>
          <w:marBottom w:val="0"/>
          <w:divBdr>
            <w:top w:val="none" w:sz="0" w:space="0" w:color="auto"/>
            <w:left w:val="none" w:sz="0" w:space="0" w:color="auto"/>
            <w:bottom w:val="none" w:sz="0" w:space="0" w:color="auto"/>
            <w:right w:val="none" w:sz="0" w:space="0" w:color="auto"/>
          </w:divBdr>
        </w:div>
      </w:divsChild>
    </w:div>
    <w:div w:id="1558005731">
      <w:marLeft w:val="0"/>
      <w:marRight w:val="0"/>
      <w:marTop w:val="0"/>
      <w:marBottom w:val="0"/>
      <w:divBdr>
        <w:top w:val="none" w:sz="0" w:space="0" w:color="auto"/>
        <w:left w:val="none" w:sz="0" w:space="0" w:color="auto"/>
        <w:bottom w:val="none" w:sz="0" w:space="0" w:color="auto"/>
        <w:right w:val="none" w:sz="0" w:space="0" w:color="auto"/>
      </w:divBdr>
    </w:div>
    <w:div w:id="1558005733">
      <w:marLeft w:val="0"/>
      <w:marRight w:val="0"/>
      <w:marTop w:val="0"/>
      <w:marBottom w:val="0"/>
      <w:divBdr>
        <w:top w:val="none" w:sz="0" w:space="0" w:color="auto"/>
        <w:left w:val="none" w:sz="0" w:space="0" w:color="auto"/>
        <w:bottom w:val="none" w:sz="0" w:space="0" w:color="auto"/>
        <w:right w:val="none" w:sz="0" w:space="0" w:color="auto"/>
      </w:divBdr>
      <w:divsChild>
        <w:div w:id="1558005696">
          <w:marLeft w:val="547"/>
          <w:marRight w:val="0"/>
          <w:marTop w:val="403"/>
          <w:marBottom w:val="0"/>
          <w:divBdr>
            <w:top w:val="none" w:sz="0" w:space="0" w:color="auto"/>
            <w:left w:val="none" w:sz="0" w:space="0" w:color="auto"/>
            <w:bottom w:val="none" w:sz="0" w:space="0" w:color="auto"/>
            <w:right w:val="none" w:sz="0" w:space="0" w:color="auto"/>
          </w:divBdr>
        </w:div>
        <w:div w:id="1558005740">
          <w:marLeft w:val="547"/>
          <w:marRight w:val="0"/>
          <w:marTop w:val="403"/>
          <w:marBottom w:val="0"/>
          <w:divBdr>
            <w:top w:val="none" w:sz="0" w:space="0" w:color="auto"/>
            <w:left w:val="none" w:sz="0" w:space="0" w:color="auto"/>
            <w:bottom w:val="none" w:sz="0" w:space="0" w:color="auto"/>
            <w:right w:val="none" w:sz="0" w:space="0" w:color="auto"/>
          </w:divBdr>
        </w:div>
        <w:div w:id="1558005742">
          <w:marLeft w:val="547"/>
          <w:marRight w:val="0"/>
          <w:marTop w:val="403"/>
          <w:marBottom w:val="0"/>
          <w:divBdr>
            <w:top w:val="none" w:sz="0" w:space="0" w:color="auto"/>
            <w:left w:val="none" w:sz="0" w:space="0" w:color="auto"/>
            <w:bottom w:val="none" w:sz="0" w:space="0" w:color="auto"/>
            <w:right w:val="none" w:sz="0" w:space="0" w:color="auto"/>
          </w:divBdr>
        </w:div>
        <w:div w:id="1558005749">
          <w:marLeft w:val="547"/>
          <w:marRight w:val="0"/>
          <w:marTop w:val="403"/>
          <w:marBottom w:val="0"/>
          <w:divBdr>
            <w:top w:val="none" w:sz="0" w:space="0" w:color="auto"/>
            <w:left w:val="none" w:sz="0" w:space="0" w:color="auto"/>
            <w:bottom w:val="none" w:sz="0" w:space="0" w:color="auto"/>
            <w:right w:val="none" w:sz="0" w:space="0" w:color="auto"/>
          </w:divBdr>
        </w:div>
      </w:divsChild>
    </w:div>
    <w:div w:id="1558005735">
      <w:marLeft w:val="0"/>
      <w:marRight w:val="0"/>
      <w:marTop w:val="0"/>
      <w:marBottom w:val="0"/>
      <w:divBdr>
        <w:top w:val="none" w:sz="0" w:space="0" w:color="auto"/>
        <w:left w:val="none" w:sz="0" w:space="0" w:color="auto"/>
        <w:bottom w:val="none" w:sz="0" w:space="0" w:color="auto"/>
        <w:right w:val="none" w:sz="0" w:space="0" w:color="auto"/>
      </w:divBdr>
      <w:divsChild>
        <w:div w:id="1558005714">
          <w:marLeft w:val="547"/>
          <w:marRight w:val="0"/>
          <w:marTop w:val="353"/>
          <w:marBottom w:val="0"/>
          <w:divBdr>
            <w:top w:val="none" w:sz="0" w:space="0" w:color="auto"/>
            <w:left w:val="none" w:sz="0" w:space="0" w:color="auto"/>
            <w:bottom w:val="none" w:sz="0" w:space="0" w:color="auto"/>
            <w:right w:val="none" w:sz="0" w:space="0" w:color="auto"/>
          </w:divBdr>
        </w:div>
        <w:div w:id="1558005716">
          <w:marLeft w:val="547"/>
          <w:marRight w:val="0"/>
          <w:marTop w:val="353"/>
          <w:marBottom w:val="0"/>
          <w:divBdr>
            <w:top w:val="none" w:sz="0" w:space="0" w:color="auto"/>
            <w:left w:val="none" w:sz="0" w:space="0" w:color="auto"/>
            <w:bottom w:val="none" w:sz="0" w:space="0" w:color="auto"/>
            <w:right w:val="none" w:sz="0" w:space="0" w:color="auto"/>
          </w:divBdr>
        </w:div>
        <w:div w:id="1558005721">
          <w:marLeft w:val="547"/>
          <w:marRight w:val="0"/>
          <w:marTop w:val="353"/>
          <w:marBottom w:val="0"/>
          <w:divBdr>
            <w:top w:val="none" w:sz="0" w:space="0" w:color="auto"/>
            <w:left w:val="none" w:sz="0" w:space="0" w:color="auto"/>
            <w:bottom w:val="none" w:sz="0" w:space="0" w:color="auto"/>
            <w:right w:val="none" w:sz="0" w:space="0" w:color="auto"/>
          </w:divBdr>
        </w:div>
        <w:div w:id="1558005729">
          <w:marLeft w:val="547"/>
          <w:marRight w:val="0"/>
          <w:marTop w:val="353"/>
          <w:marBottom w:val="0"/>
          <w:divBdr>
            <w:top w:val="none" w:sz="0" w:space="0" w:color="auto"/>
            <w:left w:val="none" w:sz="0" w:space="0" w:color="auto"/>
            <w:bottom w:val="none" w:sz="0" w:space="0" w:color="auto"/>
            <w:right w:val="none" w:sz="0" w:space="0" w:color="auto"/>
          </w:divBdr>
        </w:div>
      </w:divsChild>
    </w:div>
    <w:div w:id="1558005736">
      <w:marLeft w:val="0"/>
      <w:marRight w:val="0"/>
      <w:marTop w:val="0"/>
      <w:marBottom w:val="0"/>
      <w:divBdr>
        <w:top w:val="none" w:sz="0" w:space="0" w:color="auto"/>
        <w:left w:val="none" w:sz="0" w:space="0" w:color="auto"/>
        <w:bottom w:val="none" w:sz="0" w:space="0" w:color="auto"/>
        <w:right w:val="none" w:sz="0" w:space="0" w:color="auto"/>
      </w:divBdr>
      <w:divsChild>
        <w:div w:id="1558005701">
          <w:marLeft w:val="547"/>
          <w:marRight w:val="0"/>
          <w:marTop w:val="134"/>
          <w:marBottom w:val="0"/>
          <w:divBdr>
            <w:top w:val="none" w:sz="0" w:space="0" w:color="auto"/>
            <w:left w:val="none" w:sz="0" w:space="0" w:color="auto"/>
            <w:bottom w:val="none" w:sz="0" w:space="0" w:color="auto"/>
            <w:right w:val="none" w:sz="0" w:space="0" w:color="auto"/>
          </w:divBdr>
        </w:div>
        <w:div w:id="1558005703">
          <w:marLeft w:val="547"/>
          <w:marRight w:val="0"/>
          <w:marTop w:val="134"/>
          <w:marBottom w:val="0"/>
          <w:divBdr>
            <w:top w:val="none" w:sz="0" w:space="0" w:color="auto"/>
            <w:left w:val="none" w:sz="0" w:space="0" w:color="auto"/>
            <w:bottom w:val="none" w:sz="0" w:space="0" w:color="auto"/>
            <w:right w:val="none" w:sz="0" w:space="0" w:color="auto"/>
          </w:divBdr>
        </w:div>
        <w:div w:id="1558005709">
          <w:marLeft w:val="547"/>
          <w:marRight w:val="0"/>
          <w:marTop w:val="134"/>
          <w:marBottom w:val="0"/>
          <w:divBdr>
            <w:top w:val="none" w:sz="0" w:space="0" w:color="auto"/>
            <w:left w:val="none" w:sz="0" w:space="0" w:color="auto"/>
            <w:bottom w:val="none" w:sz="0" w:space="0" w:color="auto"/>
            <w:right w:val="none" w:sz="0" w:space="0" w:color="auto"/>
          </w:divBdr>
        </w:div>
        <w:div w:id="1558005710">
          <w:marLeft w:val="547"/>
          <w:marRight w:val="0"/>
          <w:marTop w:val="134"/>
          <w:marBottom w:val="0"/>
          <w:divBdr>
            <w:top w:val="none" w:sz="0" w:space="0" w:color="auto"/>
            <w:left w:val="none" w:sz="0" w:space="0" w:color="auto"/>
            <w:bottom w:val="none" w:sz="0" w:space="0" w:color="auto"/>
            <w:right w:val="none" w:sz="0" w:space="0" w:color="auto"/>
          </w:divBdr>
        </w:div>
        <w:div w:id="1558005745">
          <w:marLeft w:val="547"/>
          <w:marRight w:val="0"/>
          <w:marTop w:val="134"/>
          <w:marBottom w:val="0"/>
          <w:divBdr>
            <w:top w:val="none" w:sz="0" w:space="0" w:color="auto"/>
            <w:left w:val="none" w:sz="0" w:space="0" w:color="auto"/>
            <w:bottom w:val="none" w:sz="0" w:space="0" w:color="auto"/>
            <w:right w:val="none" w:sz="0" w:space="0" w:color="auto"/>
          </w:divBdr>
        </w:div>
      </w:divsChild>
    </w:div>
    <w:div w:id="1558005737">
      <w:marLeft w:val="0"/>
      <w:marRight w:val="0"/>
      <w:marTop w:val="0"/>
      <w:marBottom w:val="0"/>
      <w:divBdr>
        <w:top w:val="none" w:sz="0" w:space="0" w:color="auto"/>
        <w:left w:val="none" w:sz="0" w:space="0" w:color="auto"/>
        <w:bottom w:val="none" w:sz="0" w:space="0" w:color="auto"/>
        <w:right w:val="none" w:sz="0" w:space="0" w:color="auto"/>
      </w:divBdr>
      <w:divsChild>
        <w:div w:id="1558005695">
          <w:marLeft w:val="547"/>
          <w:marRight w:val="0"/>
          <w:marTop w:val="403"/>
          <w:marBottom w:val="0"/>
          <w:divBdr>
            <w:top w:val="none" w:sz="0" w:space="0" w:color="auto"/>
            <w:left w:val="none" w:sz="0" w:space="0" w:color="auto"/>
            <w:bottom w:val="none" w:sz="0" w:space="0" w:color="auto"/>
            <w:right w:val="none" w:sz="0" w:space="0" w:color="auto"/>
          </w:divBdr>
        </w:div>
        <w:div w:id="1558005723">
          <w:marLeft w:val="547"/>
          <w:marRight w:val="0"/>
          <w:marTop w:val="403"/>
          <w:marBottom w:val="0"/>
          <w:divBdr>
            <w:top w:val="none" w:sz="0" w:space="0" w:color="auto"/>
            <w:left w:val="none" w:sz="0" w:space="0" w:color="auto"/>
            <w:bottom w:val="none" w:sz="0" w:space="0" w:color="auto"/>
            <w:right w:val="none" w:sz="0" w:space="0" w:color="auto"/>
          </w:divBdr>
        </w:div>
        <w:div w:id="1558005751">
          <w:marLeft w:val="547"/>
          <w:marRight w:val="0"/>
          <w:marTop w:val="403"/>
          <w:marBottom w:val="0"/>
          <w:divBdr>
            <w:top w:val="none" w:sz="0" w:space="0" w:color="auto"/>
            <w:left w:val="none" w:sz="0" w:space="0" w:color="auto"/>
            <w:bottom w:val="none" w:sz="0" w:space="0" w:color="auto"/>
            <w:right w:val="none" w:sz="0" w:space="0" w:color="auto"/>
          </w:divBdr>
        </w:div>
      </w:divsChild>
    </w:div>
    <w:div w:id="1558005739">
      <w:marLeft w:val="0"/>
      <w:marRight w:val="0"/>
      <w:marTop w:val="0"/>
      <w:marBottom w:val="0"/>
      <w:divBdr>
        <w:top w:val="none" w:sz="0" w:space="0" w:color="auto"/>
        <w:left w:val="none" w:sz="0" w:space="0" w:color="auto"/>
        <w:bottom w:val="none" w:sz="0" w:space="0" w:color="auto"/>
        <w:right w:val="none" w:sz="0" w:space="0" w:color="auto"/>
      </w:divBdr>
    </w:div>
    <w:div w:id="1558005741">
      <w:marLeft w:val="0"/>
      <w:marRight w:val="0"/>
      <w:marTop w:val="0"/>
      <w:marBottom w:val="0"/>
      <w:divBdr>
        <w:top w:val="none" w:sz="0" w:space="0" w:color="auto"/>
        <w:left w:val="none" w:sz="0" w:space="0" w:color="auto"/>
        <w:bottom w:val="none" w:sz="0" w:space="0" w:color="auto"/>
        <w:right w:val="none" w:sz="0" w:space="0" w:color="auto"/>
      </w:divBdr>
    </w:div>
    <w:div w:id="1558005746">
      <w:marLeft w:val="0"/>
      <w:marRight w:val="0"/>
      <w:marTop w:val="0"/>
      <w:marBottom w:val="0"/>
      <w:divBdr>
        <w:top w:val="none" w:sz="0" w:space="0" w:color="auto"/>
        <w:left w:val="none" w:sz="0" w:space="0" w:color="auto"/>
        <w:bottom w:val="none" w:sz="0" w:space="0" w:color="auto"/>
        <w:right w:val="none" w:sz="0" w:space="0" w:color="auto"/>
      </w:divBdr>
      <w:divsChild>
        <w:div w:id="1558005692">
          <w:marLeft w:val="547"/>
          <w:marRight w:val="0"/>
          <w:marTop w:val="134"/>
          <w:marBottom w:val="0"/>
          <w:divBdr>
            <w:top w:val="none" w:sz="0" w:space="0" w:color="auto"/>
            <w:left w:val="none" w:sz="0" w:space="0" w:color="auto"/>
            <w:bottom w:val="none" w:sz="0" w:space="0" w:color="auto"/>
            <w:right w:val="none" w:sz="0" w:space="0" w:color="auto"/>
          </w:divBdr>
        </w:div>
        <w:div w:id="1558005712">
          <w:marLeft w:val="547"/>
          <w:marRight w:val="0"/>
          <w:marTop w:val="134"/>
          <w:marBottom w:val="0"/>
          <w:divBdr>
            <w:top w:val="none" w:sz="0" w:space="0" w:color="auto"/>
            <w:left w:val="none" w:sz="0" w:space="0" w:color="auto"/>
            <w:bottom w:val="none" w:sz="0" w:space="0" w:color="auto"/>
            <w:right w:val="none" w:sz="0" w:space="0" w:color="auto"/>
          </w:divBdr>
        </w:div>
        <w:div w:id="1558005722">
          <w:marLeft w:val="547"/>
          <w:marRight w:val="0"/>
          <w:marTop w:val="134"/>
          <w:marBottom w:val="0"/>
          <w:divBdr>
            <w:top w:val="none" w:sz="0" w:space="0" w:color="auto"/>
            <w:left w:val="none" w:sz="0" w:space="0" w:color="auto"/>
            <w:bottom w:val="none" w:sz="0" w:space="0" w:color="auto"/>
            <w:right w:val="none" w:sz="0" w:space="0" w:color="auto"/>
          </w:divBdr>
        </w:div>
        <w:div w:id="1558005725">
          <w:marLeft w:val="547"/>
          <w:marRight w:val="0"/>
          <w:marTop w:val="134"/>
          <w:marBottom w:val="0"/>
          <w:divBdr>
            <w:top w:val="none" w:sz="0" w:space="0" w:color="auto"/>
            <w:left w:val="none" w:sz="0" w:space="0" w:color="auto"/>
            <w:bottom w:val="none" w:sz="0" w:space="0" w:color="auto"/>
            <w:right w:val="none" w:sz="0" w:space="0" w:color="auto"/>
          </w:divBdr>
        </w:div>
        <w:div w:id="1558005727">
          <w:marLeft w:val="547"/>
          <w:marRight w:val="0"/>
          <w:marTop w:val="134"/>
          <w:marBottom w:val="0"/>
          <w:divBdr>
            <w:top w:val="none" w:sz="0" w:space="0" w:color="auto"/>
            <w:left w:val="none" w:sz="0" w:space="0" w:color="auto"/>
            <w:bottom w:val="none" w:sz="0" w:space="0" w:color="auto"/>
            <w:right w:val="none" w:sz="0" w:space="0" w:color="auto"/>
          </w:divBdr>
        </w:div>
      </w:divsChild>
    </w:div>
    <w:div w:id="1558005747">
      <w:marLeft w:val="0"/>
      <w:marRight w:val="0"/>
      <w:marTop w:val="0"/>
      <w:marBottom w:val="0"/>
      <w:divBdr>
        <w:top w:val="none" w:sz="0" w:space="0" w:color="auto"/>
        <w:left w:val="none" w:sz="0" w:space="0" w:color="auto"/>
        <w:bottom w:val="none" w:sz="0" w:space="0" w:color="auto"/>
        <w:right w:val="none" w:sz="0" w:space="0" w:color="auto"/>
      </w:divBdr>
      <w:divsChild>
        <w:div w:id="1558005697">
          <w:marLeft w:val="1440"/>
          <w:marRight w:val="0"/>
          <w:marTop w:val="0"/>
          <w:marBottom w:val="0"/>
          <w:divBdr>
            <w:top w:val="none" w:sz="0" w:space="0" w:color="auto"/>
            <w:left w:val="none" w:sz="0" w:space="0" w:color="auto"/>
            <w:bottom w:val="none" w:sz="0" w:space="0" w:color="auto"/>
            <w:right w:val="none" w:sz="0" w:space="0" w:color="auto"/>
          </w:divBdr>
        </w:div>
        <w:div w:id="1558005705">
          <w:marLeft w:val="1440"/>
          <w:marRight w:val="0"/>
          <w:marTop w:val="0"/>
          <w:marBottom w:val="0"/>
          <w:divBdr>
            <w:top w:val="none" w:sz="0" w:space="0" w:color="auto"/>
            <w:left w:val="none" w:sz="0" w:space="0" w:color="auto"/>
            <w:bottom w:val="none" w:sz="0" w:space="0" w:color="auto"/>
            <w:right w:val="none" w:sz="0" w:space="0" w:color="auto"/>
          </w:divBdr>
        </w:div>
        <w:div w:id="1558005713">
          <w:marLeft w:val="1440"/>
          <w:marRight w:val="0"/>
          <w:marTop w:val="0"/>
          <w:marBottom w:val="0"/>
          <w:divBdr>
            <w:top w:val="none" w:sz="0" w:space="0" w:color="auto"/>
            <w:left w:val="none" w:sz="0" w:space="0" w:color="auto"/>
            <w:bottom w:val="none" w:sz="0" w:space="0" w:color="auto"/>
            <w:right w:val="none" w:sz="0" w:space="0" w:color="auto"/>
          </w:divBdr>
        </w:div>
        <w:div w:id="1558005734">
          <w:marLeft w:val="1440"/>
          <w:marRight w:val="0"/>
          <w:marTop w:val="0"/>
          <w:marBottom w:val="0"/>
          <w:divBdr>
            <w:top w:val="none" w:sz="0" w:space="0" w:color="auto"/>
            <w:left w:val="none" w:sz="0" w:space="0" w:color="auto"/>
            <w:bottom w:val="none" w:sz="0" w:space="0" w:color="auto"/>
            <w:right w:val="none" w:sz="0" w:space="0" w:color="auto"/>
          </w:divBdr>
        </w:div>
      </w:divsChild>
    </w:div>
    <w:div w:id="1558005748">
      <w:marLeft w:val="0"/>
      <w:marRight w:val="0"/>
      <w:marTop w:val="0"/>
      <w:marBottom w:val="0"/>
      <w:divBdr>
        <w:top w:val="none" w:sz="0" w:space="0" w:color="auto"/>
        <w:left w:val="none" w:sz="0" w:space="0" w:color="auto"/>
        <w:bottom w:val="none" w:sz="0" w:space="0" w:color="auto"/>
        <w:right w:val="none" w:sz="0" w:space="0" w:color="auto"/>
      </w:divBdr>
    </w:div>
    <w:div w:id="1558005753">
      <w:marLeft w:val="0"/>
      <w:marRight w:val="0"/>
      <w:marTop w:val="0"/>
      <w:marBottom w:val="0"/>
      <w:divBdr>
        <w:top w:val="none" w:sz="0" w:space="0" w:color="auto"/>
        <w:left w:val="none" w:sz="0" w:space="0" w:color="auto"/>
        <w:bottom w:val="none" w:sz="0" w:space="0" w:color="auto"/>
        <w:right w:val="none" w:sz="0" w:space="0" w:color="auto"/>
      </w:divBdr>
      <w:divsChild>
        <w:div w:id="1558005699">
          <w:marLeft w:val="547"/>
          <w:marRight w:val="0"/>
          <w:marTop w:val="96"/>
          <w:marBottom w:val="0"/>
          <w:divBdr>
            <w:top w:val="none" w:sz="0" w:space="0" w:color="auto"/>
            <w:left w:val="none" w:sz="0" w:space="0" w:color="auto"/>
            <w:bottom w:val="none" w:sz="0" w:space="0" w:color="auto"/>
            <w:right w:val="none" w:sz="0" w:space="0" w:color="auto"/>
          </w:divBdr>
        </w:div>
        <w:div w:id="1558005707">
          <w:marLeft w:val="547"/>
          <w:marRight w:val="0"/>
          <w:marTop w:val="96"/>
          <w:marBottom w:val="0"/>
          <w:divBdr>
            <w:top w:val="none" w:sz="0" w:space="0" w:color="auto"/>
            <w:left w:val="none" w:sz="0" w:space="0" w:color="auto"/>
            <w:bottom w:val="none" w:sz="0" w:space="0" w:color="auto"/>
            <w:right w:val="none" w:sz="0" w:space="0" w:color="auto"/>
          </w:divBdr>
        </w:div>
        <w:div w:id="1558005732">
          <w:marLeft w:val="547"/>
          <w:marRight w:val="0"/>
          <w:marTop w:val="96"/>
          <w:marBottom w:val="0"/>
          <w:divBdr>
            <w:top w:val="none" w:sz="0" w:space="0" w:color="auto"/>
            <w:left w:val="none" w:sz="0" w:space="0" w:color="auto"/>
            <w:bottom w:val="none" w:sz="0" w:space="0" w:color="auto"/>
            <w:right w:val="none" w:sz="0" w:space="0" w:color="auto"/>
          </w:divBdr>
        </w:div>
        <w:div w:id="1558005743">
          <w:marLeft w:val="547"/>
          <w:marRight w:val="0"/>
          <w:marTop w:val="96"/>
          <w:marBottom w:val="0"/>
          <w:divBdr>
            <w:top w:val="none" w:sz="0" w:space="0" w:color="auto"/>
            <w:left w:val="none" w:sz="0" w:space="0" w:color="auto"/>
            <w:bottom w:val="none" w:sz="0" w:space="0" w:color="auto"/>
            <w:right w:val="none" w:sz="0" w:space="0" w:color="auto"/>
          </w:divBdr>
        </w:div>
        <w:div w:id="1558005744">
          <w:marLeft w:val="1166"/>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rogelio.carrera-trevino@ttu.edu" TargetMode="External"/><Relationship Id="rId18" Type="http://schemas.openxmlformats.org/officeDocument/2006/relationships/hyperlink" Target="mailto:casifuentes@conanp.gob.mx" TargetMode="External"/><Relationship Id="rId26" Type="http://schemas.openxmlformats.org/officeDocument/2006/relationships/hyperlink" Target="mailto:hparra@wwfmex.org" TargetMode="External"/><Relationship Id="rId39" Type="http://schemas.openxmlformats.org/officeDocument/2006/relationships/hyperlink" Target="mailto:fsosaoscar@hotmail.com" TargetMode="External"/><Relationship Id="rId21" Type="http://schemas.openxmlformats.org/officeDocument/2006/relationships/hyperlink" Target="mailto:jjaguilar@conanp.gob.mx" TargetMode="External"/><Relationship Id="rId34" Type="http://schemas.openxmlformats.org/officeDocument/2006/relationships/hyperlink" Target="mailto:idenrique@yahoo.com.mx" TargetMode="External"/><Relationship Id="rId42" Type="http://schemas.openxmlformats.org/officeDocument/2006/relationships/hyperlink" Target="mailto:ulrico.lopezch@uanl.mx" TargetMode="External"/><Relationship Id="rId47" Type="http://schemas.openxmlformats.org/officeDocument/2006/relationships/hyperlink" Target="mailto:r_vazquez_alvarado@yahoo.com.mx" TargetMode="External"/><Relationship Id="rId50" Type="http://schemas.openxmlformats.org/officeDocument/2006/relationships/image" Target="media/image8.jpeg"/><Relationship Id="rId55"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mapserver.inegi.org.mx/geografia/espanol/estados/definiciones/provincia.cfm?c=444&amp;e=28" TargetMode="External"/><Relationship Id="rId25" Type="http://schemas.openxmlformats.org/officeDocument/2006/relationships/hyperlink" Target="mailto:rogelio.carrera-trevino@ttu.edu" TargetMode="External"/><Relationship Id="rId33" Type="http://schemas.openxmlformats.org/officeDocument/2006/relationships/hyperlink" Target="mailto:elchorvis@gmail.com" TargetMode="External"/><Relationship Id="rId38" Type="http://schemas.openxmlformats.org/officeDocument/2006/relationships/hyperlink" Target="mailto:lleyequien@conanp.gob.mx" TargetMode="External"/><Relationship Id="rId46" Type="http://schemas.openxmlformats.org/officeDocument/2006/relationships/hyperlink" Target="mailto:jorgeacl.84@gmail.com"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mailto:arhodes@conanp.gob.mx" TargetMode="External"/><Relationship Id="rId29" Type="http://schemas.openxmlformats.org/officeDocument/2006/relationships/hyperlink" Target="mailto:andresnd@hotmail.com" TargetMode="External"/><Relationship Id="rId41" Type="http://schemas.openxmlformats.org/officeDocument/2006/relationships/hyperlink" Target="mailto:ivogarcia@conanp.gob.mx"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mailto:oflores@conanp.gob.mx" TargetMode="External"/><Relationship Id="rId32" Type="http://schemas.openxmlformats.org/officeDocument/2006/relationships/hyperlink" Target="mailto:rogelio.carrera-trevino@ttu.edu" TargetMode="External"/><Relationship Id="rId37" Type="http://schemas.openxmlformats.org/officeDocument/2006/relationships/hyperlink" Target="mailto:arhodes@conanp.gob.mx" TargetMode="External"/><Relationship Id="rId40" Type="http://schemas.openxmlformats.org/officeDocument/2006/relationships/hyperlink" Target="mailto:jdavila@conanp.gob.mx" TargetMode="External"/><Relationship Id="rId45" Type="http://schemas.openxmlformats.org/officeDocument/2006/relationships/hyperlink" Target="mailto:ornitologia@gmail.com" TargetMode="External"/><Relationship Id="rId53"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mailto:lleyequien@conanp.gob.mx" TargetMode="External"/><Relationship Id="rId28" Type="http://schemas.openxmlformats.org/officeDocument/2006/relationships/hyperlink" Target="mailto:jvaldes@uaaan.mx" TargetMode="External"/><Relationship Id="rId36" Type="http://schemas.openxmlformats.org/officeDocument/2006/relationships/hyperlink" Target="mailto:orokaz@yahoo.com" TargetMode="External"/><Relationship Id="rId49" Type="http://schemas.openxmlformats.org/officeDocument/2006/relationships/hyperlink" Target="mailto:rtorres@fcb.uanl.mx" TargetMode="External"/><Relationship Id="rId10" Type="http://schemas.openxmlformats.org/officeDocument/2006/relationships/image" Target="media/image4.jpeg"/><Relationship Id="rId19" Type="http://schemas.openxmlformats.org/officeDocument/2006/relationships/hyperlink" Target="mailto:ivogarcia@conanp.gob.mx" TargetMode="External"/><Relationship Id="rId31" Type="http://schemas.openxmlformats.org/officeDocument/2006/relationships/hyperlink" Target="mailto:jjaguilar@conanp.gob.mx" TargetMode="External"/><Relationship Id="rId44" Type="http://schemas.openxmlformats.org/officeDocument/2006/relationships/hyperlink" Target="mailto:juan_0305@hotmail.com" TargetMode="External"/><Relationship Id="rId52"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hyperlink" Target="mailto:jdavila@conanp.gob.mx" TargetMode="External"/><Relationship Id="rId27" Type="http://schemas.openxmlformats.org/officeDocument/2006/relationships/hyperlink" Target="mailto:alrodriguez@wwfmex.org" TargetMode="External"/><Relationship Id="rId30" Type="http://schemas.openxmlformats.org/officeDocument/2006/relationships/hyperlink" Target="mailto:javier.ochoa@conanp.gob.mx" TargetMode="External"/><Relationship Id="rId35" Type="http://schemas.openxmlformats.org/officeDocument/2006/relationships/hyperlink" Target="mailto:imarch@tnc.org" TargetMode="External"/><Relationship Id="rId43" Type="http://schemas.openxmlformats.org/officeDocument/2006/relationships/hyperlink" Target="mailto:javidalesc@hotmail.com" TargetMode="External"/><Relationship Id="rId48" Type="http://schemas.openxmlformats.org/officeDocument/2006/relationships/hyperlink" Target="mailto:humberto.ibarragl@uanl.edu.mx" TargetMode="External"/><Relationship Id="rId8" Type="http://schemas.openxmlformats.org/officeDocument/2006/relationships/image" Target="media/image2.jpeg"/><Relationship Id="rId51" Type="http://schemas.openxmlformats.org/officeDocument/2006/relationships/image" Target="media/image9.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48</Pages>
  <Words>14158</Words>
  <Characters>-32766</Characters>
  <Application>Microsoft Office Outlook</Application>
  <DocSecurity>0</DocSecurity>
  <Lines>0</Lines>
  <Paragraphs>0</Paragraphs>
  <ScaleCrop>false</ScaleCrop>
  <Company>TTU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Rogelio Carrera</dc:creator>
  <cp:keywords/>
  <dc:description/>
  <cp:lastModifiedBy>challmich</cp:lastModifiedBy>
  <cp:revision>2</cp:revision>
  <cp:lastPrinted>2011-11-01T20:27:00Z</cp:lastPrinted>
  <dcterms:created xsi:type="dcterms:W3CDTF">2012-06-21T19:24:00Z</dcterms:created>
  <dcterms:modified xsi:type="dcterms:W3CDTF">2012-06-21T19:24:00Z</dcterms:modified>
</cp:coreProperties>
</file>